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85D8A" w:rsidP="00E72018">
      <w:pPr>
        <w:pStyle w:val="NoSpacing"/>
        <w:jc w:val="both"/>
        <w:rPr>
          <w:rFonts w:ascii="Times New Roman" w:hAnsi="Times New Roman" w:cs="Times New Roman"/>
          <w:sz w:val="24"/>
        </w:rPr>
      </w:pPr>
      <w:r>
        <w:rPr>
          <w:rFonts w:ascii="Times New Roman" w:hAnsi="Times New Roman" w:cs="Times New Roman"/>
          <w:sz w:val="24"/>
        </w:rPr>
        <w:t>CAROL ANN CORR</w:t>
      </w:r>
      <w:r w:rsidR="00E72018">
        <w:rPr>
          <w:rFonts w:ascii="Times New Roman" w:hAnsi="Times New Roman" w:cs="Times New Roman"/>
          <w:sz w:val="24"/>
        </w:rPr>
        <w:t>E</w:t>
      </w:r>
      <w:r>
        <w:rPr>
          <w:rFonts w:ascii="Times New Roman" w:hAnsi="Times New Roman" w:cs="Times New Roman"/>
          <w:sz w:val="24"/>
        </w:rPr>
        <w:t>I</w:t>
      </w:r>
      <w:r w:rsidR="00E72018">
        <w:rPr>
          <w:rFonts w:ascii="Times New Roman" w:hAnsi="Times New Roman" w:cs="Times New Roman"/>
          <w:sz w:val="24"/>
        </w:rPr>
        <w:t>A</w:t>
      </w:r>
    </w:p>
    <w:p w:rsidR="00E72018" w:rsidRDefault="00E72018" w:rsidP="00E72018">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CLIFFORD JOHN LI</w:t>
      </w:r>
      <w:r w:rsidR="00885D8A">
        <w:rPr>
          <w:rFonts w:ascii="Times New Roman" w:hAnsi="Times New Roman" w:cs="Times New Roman"/>
          <w:sz w:val="24"/>
        </w:rPr>
        <w:t>E</w:t>
      </w:r>
      <w:r>
        <w:rPr>
          <w:rFonts w:ascii="Times New Roman" w:hAnsi="Times New Roman" w:cs="Times New Roman"/>
          <w:sz w:val="24"/>
        </w:rPr>
        <w:t>BENBERG</w:t>
      </w:r>
    </w:p>
    <w:p w:rsidR="00E72018" w:rsidRPr="00E72018" w:rsidRDefault="00E72018" w:rsidP="00E72018">
      <w:pPr>
        <w:pStyle w:val="NoSpacing"/>
        <w:jc w:val="both"/>
        <w:rPr>
          <w:rFonts w:ascii="Times New Roman" w:hAnsi="Times New Roman" w:cs="Times New Roman"/>
          <w:b/>
          <w:sz w:val="24"/>
        </w:rPr>
      </w:pPr>
      <w:proofErr w:type="gramStart"/>
      <w:r w:rsidRPr="00E72018">
        <w:rPr>
          <w:rFonts w:ascii="Times New Roman" w:hAnsi="Times New Roman" w:cs="Times New Roman"/>
          <w:b/>
          <w:sz w:val="24"/>
        </w:rPr>
        <w:t>versus</w:t>
      </w:r>
      <w:proofErr w:type="gramEnd"/>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RICHARD DOLLAR</w:t>
      </w:r>
    </w:p>
    <w:p w:rsidR="00E72018" w:rsidRDefault="00E72018" w:rsidP="00E72018">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 xml:space="preserve">ZIMDIV HOLDINGS LIMITED </w:t>
      </w:r>
    </w:p>
    <w:p w:rsidR="00E72018" w:rsidRDefault="00E72018" w:rsidP="00E72018">
      <w:pPr>
        <w:pStyle w:val="NoSpacing"/>
        <w:jc w:val="both"/>
        <w:rPr>
          <w:rFonts w:ascii="Times New Roman" w:hAnsi="Times New Roman" w:cs="Times New Roman"/>
          <w:sz w:val="24"/>
        </w:rPr>
      </w:pPr>
    </w:p>
    <w:p w:rsidR="00E72018" w:rsidRDefault="00E72018" w:rsidP="00E72018">
      <w:pPr>
        <w:pStyle w:val="NoSpacing"/>
        <w:jc w:val="both"/>
        <w:rPr>
          <w:rFonts w:ascii="Times New Roman" w:hAnsi="Times New Roman" w:cs="Times New Roman"/>
          <w:sz w:val="24"/>
        </w:rPr>
      </w:pPr>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HIGH COURT OF ZIMBABWE</w:t>
      </w:r>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MAKONESE J</w:t>
      </w:r>
    </w:p>
    <w:p w:rsidR="00E72018" w:rsidRDefault="00E72018" w:rsidP="00E72018">
      <w:pPr>
        <w:pStyle w:val="NoSpacing"/>
        <w:jc w:val="both"/>
        <w:rPr>
          <w:rFonts w:ascii="Times New Roman" w:hAnsi="Times New Roman" w:cs="Times New Roman"/>
          <w:sz w:val="24"/>
        </w:rPr>
      </w:pPr>
      <w:r>
        <w:rPr>
          <w:rFonts w:ascii="Times New Roman" w:hAnsi="Times New Roman" w:cs="Times New Roman"/>
          <w:sz w:val="24"/>
        </w:rPr>
        <w:t>BULAWAYO 23 JUNE AND 22 OCTOBER 2015</w:t>
      </w:r>
    </w:p>
    <w:p w:rsidR="00E72018" w:rsidRDefault="00E72018" w:rsidP="00E72018">
      <w:pPr>
        <w:pStyle w:val="NoSpacing"/>
        <w:jc w:val="both"/>
        <w:rPr>
          <w:rFonts w:ascii="Times New Roman" w:hAnsi="Times New Roman" w:cs="Times New Roman"/>
          <w:sz w:val="24"/>
        </w:rPr>
      </w:pPr>
    </w:p>
    <w:p w:rsidR="00E72018" w:rsidRDefault="00E72018" w:rsidP="00E72018">
      <w:pPr>
        <w:pStyle w:val="NoSpacing"/>
        <w:jc w:val="both"/>
        <w:rPr>
          <w:rFonts w:ascii="Times New Roman" w:hAnsi="Times New Roman" w:cs="Times New Roman"/>
          <w:sz w:val="24"/>
        </w:rPr>
      </w:pPr>
    </w:p>
    <w:p w:rsidR="00E72018" w:rsidRPr="006076D8" w:rsidRDefault="00E72018" w:rsidP="00E72018">
      <w:pPr>
        <w:pStyle w:val="NoSpacing"/>
        <w:jc w:val="both"/>
        <w:rPr>
          <w:rFonts w:ascii="Times New Roman" w:hAnsi="Times New Roman" w:cs="Times New Roman"/>
          <w:b/>
          <w:sz w:val="24"/>
        </w:rPr>
      </w:pPr>
      <w:r w:rsidRPr="006076D8">
        <w:rPr>
          <w:rFonts w:ascii="Times New Roman" w:hAnsi="Times New Roman" w:cs="Times New Roman"/>
          <w:b/>
          <w:sz w:val="24"/>
        </w:rPr>
        <w:t>Opposed application</w:t>
      </w:r>
    </w:p>
    <w:p w:rsidR="00E72018" w:rsidRDefault="00E72018" w:rsidP="00E72018">
      <w:pPr>
        <w:pStyle w:val="NoSpacing"/>
        <w:jc w:val="both"/>
        <w:rPr>
          <w:rFonts w:ascii="Times New Roman" w:hAnsi="Times New Roman" w:cs="Times New Roman"/>
          <w:sz w:val="24"/>
        </w:rPr>
      </w:pPr>
    </w:p>
    <w:p w:rsidR="00E72018" w:rsidRDefault="00E72018" w:rsidP="00E72018">
      <w:pPr>
        <w:pStyle w:val="NoSpacing"/>
        <w:jc w:val="both"/>
        <w:rPr>
          <w:rFonts w:ascii="Times New Roman" w:hAnsi="Times New Roman" w:cs="Times New Roman"/>
          <w:sz w:val="24"/>
        </w:rPr>
      </w:pPr>
      <w:r w:rsidRPr="00BD54AB">
        <w:rPr>
          <w:rFonts w:ascii="Times New Roman" w:hAnsi="Times New Roman" w:cs="Times New Roman"/>
          <w:i/>
          <w:sz w:val="24"/>
        </w:rPr>
        <w:t xml:space="preserve">L. </w:t>
      </w:r>
      <w:proofErr w:type="spellStart"/>
      <w:r w:rsidRPr="00BD54AB">
        <w:rPr>
          <w:rFonts w:ascii="Times New Roman" w:hAnsi="Times New Roman" w:cs="Times New Roman"/>
          <w:i/>
          <w:sz w:val="24"/>
        </w:rPr>
        <w:t>Tshuma</w:t>
      </w:r>
      <w:proofErr w:type="spellEnd"/>
      <w:r>
        <w:rPr>
          <w:rFonts w:ascii="Times New Roman" w:hAnsi="Times New Roman" w:cs="Times New Roman"/>
          <w:sz w:val="24"/>
        </w:rPr>
        <w:t xml:space="preserve"> for </w:t>
      </w:r>
      <w:r w:rsidR="00BD54AB">
        <w:rPr>
          <w:rFonts w:ascii="Times New Roman" w:hAnsi="Times New Roman" w:cs="Times New Roman"/>
          <w:sz w:val="24"/>
        </w:rPr>
        <w:t>applicants</w:t>
      </w:r>
    </w:p>
    <w:p w:rsidR="00BD54AB" w:rsidRDefault="00BD54AB" w:rsidP="00E72018">
      <w:pPr>
        <w:pStyle w:val="NoSpacing"/>
        <w:jc w:val="both"/>
        <w:rPr>
          <w:rFonts w:ascii="Times New Roman" w:hAnsi="Times New Roman" w:cs="Times New Roman"/>
          <w:sz w:val="24"/>
        </w:rPr>
      </w:pPr>
      <w:r w:rsidRPr="00BD54AB">
        <w:rPr>
          <w:rFonts w:ascii="Times New Roman" w:hAnsi="Times New Roman" w:cs="Times New Roman"/>
          <w:i/>
          <w:sz w:val="24"/>
        </w:rPr>
        <w:t xml:space="preserve">N. </w:t>
      </w:r>
      <w:proofErr w:type="spellStart"/>
      <w:r w:rsidRPr="00BD54AB">
        <w:rPr>
          <w:rFonts w:ascii="Times New Roman" w:hAnsi="Times New Roman" w:cs="Times New Roman"/>
          <w:i/>
          <w:sz w:val="24"/>
        </w:rPr>
        <w:t>Mashayamombe</w:t>
      </w:r>
      <w:proofErr w:type="spellEnd"/>
      <w:r>
        <w:rPr>
          <w:rFonts w:ascii="Times New Roman" w:hAnsi="Times New Roman" w:cs="Times New Roman"/>
          <w:sz w:val="24"/>
        </w:rPr>
        <w:t xml:space="preserve"> for respondents</w:t>
      </w:r>
    </w:p>
    <w:p w:rsidR="00BD54AB" w:rsidRDefault="00BD54AB" w:rsidP="00E72018">
      <w:pPr>
        <w:pStyle w:val="NoSpacing"/>
        <w:jc w:val="both"/>
        <w:rPr>
          <w:rFonts w:ascii="Times New Roman" w:hAnsi="Times New Roman" w:cs="Times New Roman"/>
          <w:sz w:val="24"/>
        </w:rPr>
      </w:pPr>
    </w:p>
    <w:p w:rsidR="00BD54AB" w:rsidRDefault="00BD54AB" w:rsidP="00E72018">
      <w:pPr>
        <w:pStyle w:val="NoSpacing"/>
        <w:jc w:val="both"/>
        <w:rPr>
          <w:rFonts w:ascii="Times New Roman" w:hAnsi="Times New Roman" w:cs="Times New Roman"/>
          <w:sz w:val="24"/>
        </w:rPr>
      </w:pPr>
    </w:p>
    <w:p w:rsidR="00BD54AB" w:rsidRDefault="00BD54AB" w:rsidP="00BD54AB">
      <w:pPr>
        <w:pStyle w:val="NoSpacing"/>
        <w:spacing w:line="360" w:lineRule="auto"/>
        <w:ind w:firstLine="720"/>
        <w:jc w:val="both"/>
        <w:rPr>
          <w:rFonts w:ascii="Times New Roman" w:hAnsi="Times New Roman" w:cs="Times New Roman"/>
          <w:sz w:val="24"/>
        </w:rPr>
      </w:pPr>
      <w:r w:rsidRPr="00BD54AB">
        <w:rPr>
          <w:rFonts w:ascii="Times New Roman" w:hAnsi="Times New Roman" w:cs="Times New Roman"/>
          <w:b/>
          <w:sz w:val="24"/>
        </w:rPr>
        <w:t>MAKONESE J:</w:t>
      </w:r>
      <w:r>
        <w:rPr>
          <w:rFonts w:ascii="Times New Roman" w:hAnsi="Times New Roman" w:cs="Times New Roman"/>
          <w:sz w:val="24"/>
        </w:rPr>
        <w:tab/>
        <w:t>Plaintiff instituted action proceedings against first defendant seeking the following relief:</w:t>
      </w:r>
    </w:p>
    <w:p w:rsidR="00BD54AB" w:rsidRDefault="00BD54AB" w:rsidP="006076D8">
      <w:pPr>
        <w:pStyle w:val="NoSpacing"/>
        <w:ind w:left="720"/>
        <w:jc w:val="both"/>
        <w:rPr>
          <w:rFonts w:ascii="Times New Roman" w:hAnsi="Times New Roman" w:cs="Times New Roman"/>
          <w:sz w:val="24"/>
        </w:rPr>
      </w:pPr>
      <w:r>
        <w:rPr>
          <w:rFonts w:ascii="Times New Roman" w:hAnsi="Times New Roman" w:cs="Times New Roman"/>
          <w:sz w:val="24"/>
        </w:rPr>
        <w:t xml:space="preserve">“Delivery of all mining documents and certificates in respect of RHA Tungsten Extension claims held by defendant (first defendant) or by any person claiming right of possession through the defendant within ten days of the granting of the order.  The claim arising from the </w:t>
      </w:r>
      <w:proofErr w:type="gramStart"/>
      <w:r w:rsidR="007C18E7">
        <w:rPr>
          <w:rFonts w:ascii="Times New Roman" w:hAnsi="Times New Roman" w:cs="Times New Roman"/>
          <w:sz w:val="24"/>
        </w:rPr>
        <w:t>defendants</w:t>
      </w:r>
      <w:proofErr w:type="gramEnd"/>
      <w:r>
        <w:rPr>
          <w:rFonts w:ascii="Times New Roman" w:hAnsi="Times New Roman" w:cs="Times New Roman"/>
          <w:sz w:val="24"/>
        </w:rPr>
        <w:t xml:space="preserve"> failure to return the said documents notwithstanding demand from plaintiff.”</w:t>
      </w:r>
    </w:p>
    <w:p w:rsidR="006076D8" w:rsidRDefault="006076D8" w:rsidP="006076D8">
      <w:pPr>
        <w:pStyle w:val="NoSpacing"/>
        <w:ind w:left="720"/>
        <w:jc w:val="both"/>
        <w:rPr>
          <w:rFonts w:ascii="Times New Roman" w:hAnsi="Times New Roman" w:cs="Times New Roman"/>
          <w:sz w:val="24"/>
        </w:rPr>
      </w:pPr>
    </w:p>
    <w:p w:rsidR="00BD54AB" w:rsidRDefault="00BD54AB" w:rsidP="00BD54AB">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First defendant enter</w:t>
      </w:r>
      <w:r w:rsidR="00704601">
        <w:rPr>
          <w:rFonts w:ascii="Times New Roman" w:hAnsi="Times New Roman" w:cs="Times New Roman"/>
          <w:sz w:val="24"/>
        </w:rPr>
        <w:t>e</w:t>
      </w:r>
      <w:r>
        <w:rPr>
          <w:rFonts w:ascii="Times New Roman" w:hAnsi="Times New Roman" w:cs="Times New Roman"/>
          <w:sz w:val="24"/>
        </w:rPr>
        <w:t xml:space="preserve">d an Appearance to </w:t>
      </w:r>
      <w:proofErr w:type="gramStart"/>
      <w:r>
        <w:rPr>
          <w:rFonts w:ascii="Times New Roman" w:hAnsi="Times New Roman" w:cs="Times New Roman"/>
          <w:sz w:val="24"/>
        </w:rPr>
        <w:t>Defend</w:t>
      </w:r>
      <w:proofErr w:type="gramEnd"/>
      <w:r>
        <w:rPr>
          <w:rFonts w:ascii="Times New Roman" w:hAnsi="Times New Roman" w:cs="Times New Roman"/>
          <w:sz w:val="24"/>
        </w:rPr>
        <w:t xml:space="preserve"> the action and subsequently second defendant sought to be joined as a party to the proceedings. By consent of the parties second defendant was joined as a p</w:t>
      </w:r>
      <w:r w:rsidR="00704601">
        <w:rPr>
          <w:rFonts w:ascii="Times New Roman" w:hAnsi="Times New Roman" w:cs="Times New Roman"/>
          <w:sz w:val="24"/>
        </w:rPr>
        <w:t>a</w:t>
      </w:r>
      <w:r>
        <w:rPr>
          <w:rFonts w:ascii="Times New Roman" w:hAnsi="Times New Roman" w:cs="Times New Roman"/>
          <w:sz w:val="24"/>
        </w:rPr>
        <w:t xml:space="preserve">rty </w:t>
      </w:r>
      <w:r w:rsidR="00704601">
        <w:rPr>
          <w:rFonts w:ascii="Times New Roman" w:hAnsi="Times New Roman" w:cs="Times New Roman"/>
          <w:sz w:val="24"/>
        </w:rPr>
        <w:t>to the proceedings</w:t>
      </w:r>
      <w:r w:rsidR="007C18E7">
        <w:rPr>
          <w:rFonts w:ascii="Times New Roman" w:hAnsi="Times New Roman" w:cs="Times New Roman"/>
          <w:sz w:val="24"/>
        </w:rPr>
        <w:t>.</w:t>
      </w:r>
      <w:r w:rsidR="00704601">
        <w:rPr>
          <w:rFonts w:ascii="Times New Roman" w:hAnsi="Times New Roman" w:cs="Times New Roman"/>
          <w:sz w:val="24"/>
        </w:rPr>
        <w:t xml:space="preserve">  Defendants have filed a plea in bar challenging the contractual nexus between plaintiff and first defendant and further challenging the jurisdiction of the court on the g</w:t>
      </w:r>
      <w:r w:rsidR="007C18E7">
        <w:rPr>
          <w:rFonts w:ascii="Times New Roman" w:hAnsi="Times New Roman" w:cs="Times New Roman"/>
          <w:sz w:val="24"/>
        </w:rPr>
        <w:t>rounds that the plaintiff</w:t>
      </w:r>
      <w:r w:rsidR="00704601">
        <w:rPr>
          <w:rFonts w:ascii="Times New Roman" w:hAnsi="Times New Roman" w:cs="Times New Roman"/>
          <w:sz w:val="24"/>
        </w:rPr>
        <w:t>s and second defendant irrevocably agreed that the courts of England and Wales had exclusive jurisdiction regarding any claims arising out of the option agreement entered into by the plaintiff and second defendant.</w:t>
      </w:r>
    </w:p>
    <w:p w:rsidR="00704601" w:rsidRDefault="00704601" w:rsidP="00704601">
      <w:pPr>
        <w:pStyle w:val="NoSpacing"/>
        <w:spacing w:line="360" w:lineRule="auto"/>
        <w:jc w:val="both"/>
        <w:rPr>
          <w:rFonts w:ascii="Times New Roman" w:hAnsi="Times New Roman" w:cs="Times New Roman"/>
          <w:sz w:val="24"/>
        </w:rPr>
      </w:pPr>
    </w:p>
    <w:p w:rsidR="007C18E7" w:rsidRDefault="007C18E7" w:rsidP="00704601">
      <w:pPr>
        <w:pStyle w:val="NoSpacing"/>
        <w:spacing w:line="360" w:lineRule="auto"/>
        <w:jc w:val="both"/>
        <w:rPr>
          <w:rFonts w:ascii="Times New Roman" w:hAnsi="Times New Roman" w:cs="Times New Roman"/>
          <w:sz w:val="24"/>
        </w:rPr>
      </w:pPr>
    </w:p>
    <w:p w:rsidR="007C18E7" w:rsidRDefault="007C18E7" w:rsidP="00704601">
      <w:pPr>
        <w:pStyle w:val="NoSpacing"/>
        <w:spacing w:line="360" w:lineRule="auto"/>
        <w:jc w:val="both"/>
        <w:rPr>
          <w:rFonts w:ascii="Times New Roman" w:hAnsi="Times New Roman" w:cs="Times New Roman"/>
          <w:sz w:val="24"/>
        </w:rPr>
      </w:pPr>
    </w:p>
    <w:p w:rsidR="00704601" w:rsidRPr="00D0465E" w:rsidRDefault="00704601" w:rsidP="00704601">
      <w:pPr>
        <w:pStyle w:val="NoSpacing"/>
        <w:spacing w:line="360" w:lineRule="auto"/>
        <w:jc w:val="both"/>
        <w:rPr>
          <w:rFonts w:ascii="Times New Roman" w:hAnsi="Times New Roman" w:cs="Times New Roman"/>
          <w:sz w:val="24"/>
          <w:u w:val="single"/>
        </w:rPr>
      </w:pPr>
      <w:r w:rsidRPr="00D0465E">
        <w:rPr>
          <w:rFonts w:ascii="Times New Roman" w:hAnsi="Times New Roman" w:cs="Times New Roman"/>
          <w:sz w:val="24"/>
          <w:u w:val="single"/>
        </w:rPr>
        <w:lastRenderedPageBreak/>
        <w:t>Background</w:t>
      </w:r>
    </w:p>
    <w:p w:rsidR="00704601" w:rsidRDefault="00704601" w:rsidP="00704601">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The brief background to this matter is that plaintiffs are the registered titleholders of mining claims known as the RHA Tungsten Extension claims consisting of 40 mining claims.  Sometime in March 2011, first </w:t>
      </w:r>
      <w:r w:rsidR="00885D8A">
        <w:rPr>
          <w:rFonts w:ascii="Times New Roman" w:hAnsi="Times New Roman" w:cs="Times New Roman"/>
          <w:sz w:val="24"/>
        </w:rPr>
        <w:t xml:space="preserve">defendant </w:t>
      </w:r>
      <w:r>
        <w:rPr>
          <w:rFonts w:ascii="Times New Roman" w:hAnsi="Times New Roman" w:cs="Times New Roman"/>
          <w:sz w:val="24"/>
        </w:rPr>
        <w:t xml:space="preserve">purporting to be, or holding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out to be an agent or proxy of a company known as </w:t>
      </w:r>
      <w:proofErr w:type="spellStart"/>
      <w:r>
        <w:rPr>
          <w:rFonts w:ascii="Times New Roman" w:hAnsi="Times New Roman" w:cs="Times New Roman"/>
          <w:sz w:val="24"/>
        </w:rPr>
        <w:t>Z</w:t>
      </w:r>
      <w:r w:rsidR="00D0465E">
        <w:rPr>
          <w:rFonts w:ascii="Times New Roman" w:hAnsi="Times New Roman" w:cs="Times New Roman"/>
          <w:sz w:val="24"/>
        </w:rPr>
        <w:t>i</w:t>
      </w:r>
      <w:r>
        <w:rPr>
          <w:rFonts w:ascii="Times New Roman" w:hAnsi="Times New Roman" w:cs="Times New Roman"/>
          <w:sz w:val="24"/>
        </w:rPr>
        <w:t>mDiv</w:t>
      </w:r>
      <w:proofErr w:type="spellEnd"/>
      <w:r>
        <w:rPr>
          <w:rFonts w:ascii="Times New Roman" w:hAnsi="Times New Roman" w:cs="Times New Roman"/>
          <w:sz w:val="24"/>
        </w:rPr>
        <w:t xml:space="preserve"> Holdings Lim</w:t>
      </w:r>
      <w:r w:rsidR="00D0465E">
        <w:rPr>
          <w:rFonts w:ascii="Times New Roman" w:hAnsi="Times New Roman" w:cs="Times New Roman"/>
          <w:sz w:val="24"/>
        </w:rPr>
        <w:t>i</w:t>
      </w:r>
      <w:r>
        <w:rPr>
          <w:rFonts w:ascii="Times New Roman" w:hAnsi="Times New Roman" w:cs="Times New Roman"/>
          <w:sz w:val="24"/>
        </w:rPr>
        <w:t>ted</w:t>
      </w:r>
      <w:r w:rsidR="00885D8A">
        <w:rPr>
          <w:rFonts w:ascii="Times New Roman" w:hAnsi="Times New Roman" w:cs="Times New Roman"/>
          <w:sz w:val="24"/>
        </w:rPr>
        <w:t xml:space="preserve"> </w:t>
      </w:r>
      <w:r w:rsidR="00D0465E">
        <w:rPr>
          <w:rFonts w:ascii="Times New Roman" w:hAnsi="Times New Roman" w:cs="Times New Roman"/>
          <w:sz w:val="24"/>
        </w:rPr>
        <w:t xml:space="preserve">offered to purchase the 40 mining claims from the plaintiffs.  The purchase of the claims was subject to </w:t>
      </w:r>
      <w:proofErr w:type="spellStart"/>
      <w:r w:rsidR="00D0465E">
        <w:rPr>
          <w:rFonts w:ascii="Times New Roman" w:hAnsi="Times New Roman" w:cs="Times New Roman"/>
          <w:sz w:val="24"/>
        </w:rPr>
        <w:t>ZimDiv</w:t>
      </w:r>
      <w:proofErr w:type="spellEnd"/>
      <w:r w:rsidR="00D0465E">
        <w:rPr>
          <w:rFonts w:ascii="Times New Roman" w:hAnsi="Times New Roman" w:cs="Times New Roman"/>
          <w:sz w:val="24"/>
        </w:rPr>
        <w:t xml:space="preserve"> Holdings exercising an option to purchase on or by 28 February 2014.  First defendant requested and received from the plaintiff registration certificates and other ancillary documents relating to the mining claims in order to facilitate the agreement. The documents were surrendered to first defendant for the purpose of “updating the mining claims with the Department of Mines.” </w:t>
      </w:r>
    </w:p>
    <w:p w:rsidR="00C54C99" w:rsidRDefault="00C54C99" w:rsidP="0070460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agreement between the plaintiffs and </w:t>
      </w:r>
      <w:proofErr w:type="spellStart"/>
      <w:r>
        <w:rPr>
          <w:rFonts w:ascii="Times New Roman" w:hAnsi="Times New Roman" w:cs="Times New Roman"/>
          <w:sz w:val="24"/>
        </w:rPr>
        <w:t>ZimDiv</w:t>
      </w:r>
      <w:proofErr w:type="spellEnd"/>
      <w:r>
        <w:rPr>
          <w:rFonts w:ascii="Times New Roman" w:hAnsi="Times New Roman" w:cs="Times New Roman"/>
          <w:sz w:val="24"/>
        </w:rPr>
        <w:t xml:space="preserve"> Holdings collapsed and the option agreement was not exercised. The agreement lapsed on 28 February 2014.  Despite demand, first defendant failed or neglected to return the registration certificate</w:t>
      </w:r>
      <w:r w:rsidR="00794502">
        <w:rPr>
          <w:rFonts w:ascii="Times New Roman" w:hAnsi="Times New Roman" w:cs="Times New Roman"/>
          <w:sz w:val="24"/>
        </w:rPr>
        <w:t>s</w:t>
      </w:r>
      <w:r>
        <w:rPr>
          <w:rFonts w:ascii="Times New Roman" w:hAnsi="Times New Roman" w:cs="Times New Roman"/>
          <w:sz w:val="24"/>
        </w:rPr>
        <w:t xml:space="preserve"> in respect of the mining claims to the plaintiffs.  That refusal has led to the present action.  The first defendant has raised two </w:t>
      </w:r>
      <w:proofErr w:type="spellStart"/>
      <w:r>
        <w:rPr>
          <w:rFonts w:ascii="Times New Roman" w:hAnsi="Times New Roman" w:cs="Times New Roman"/>
          <w:sz w:val="24"/>
        </w:rPr>
        <w:t>defences</w:t>
      </w:r>
      <w:proofErr w:type="spellEnd"/>
      <w:r>
        <w:rPr>
          <w:rFonts w:ascii="Times New Roman" w:hAnsi="Times New Roman" w:cs="Times New Roman"/>
          <w:sz w:val="24"/>
        </w:rPr>
        <w:t xml:space="preserve"> to these claims, namely:</w:t>
      </w:r>
    </w:p>
    <w:p w:rsidR="00CA032D" w:rsidRDefault="00CA032D" w:rsidP="00CA032D">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He was merely acting as an agent and cannot bear personal responsibility </w:t>
      </w:r>
      <w:r w:rsidR="00885D8A">
        <w:rPr>
          <w:rFonts w:ascii="Times New Roman" w:hAnsi="Times New Roman" w:cs="Times New Roman"/>
          <w:sz w:val="24"/>
        </w:rPr>
        <w:t xml:space="preserve">for the </w:t>
      </w:r>
      <w:r>
        <w:rPr>
          <w:rFonts w:ascii="Times New Roman" w:hAnsi="Times New Roman" w:cs="Times New Roman"/>
          <w:sz w:val="24"/>
        </w:rPr>
        <w:t xml:space="preserve">return </w:t>
      </w:r>
      <w:r w:rsidR="00885D8A">
        <w:rPr>
          <w:rFonts w:ascii="Times New Roman" w:hAnsi="Times New Roman" w:cs="Times New Roman"/>
          <w:sz w:val="24"/>
        </w:rPr>
        <w:t xml:space="preserve">of </w:t>
      </w:r>
      <w:r>
        <w:rPr>
          <w:rFonts w:ascii="Times New Roman" w:hAnsi="Times New Roman" w:cs="Times New Roman"/>
          <w:sz w:val="24"/>
        </w:rPr>
        <w:t>the registration certificates.</w:t>
      </w:r>
    </w:p>
    <w:p w:rsidR="00CA032D" w:rsidRDefault="00CA032D" w:rsidP="00CA032D">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This court has no jurisdiction to entertain the matter in that plaintiff and second defendant entered into a written agreement wherein the parties submitted to the exclusive jurisdiction of the courts of England and Wales.</w:t>
      </w:r>
    </w:p>
    <w:p w:rsidR="00CA032D" w:rsidRDefault="00CA032D" w:rsidP="004430A0">
      <w:pPr>
        <w:pStyle w:val="NoSpacing"/>
        <w:spacing w:line="360" w:lineRule="auto"/>
        <w:ind w:firstLine="360"/>
        <w:jc w:val="both"/>
        <w:rPr>
          <w:rFonts w:ascii="Times New Roman" w:hAnsi="Times New Roman" w:cs="Times New Roman"/>
          <w:sz w:val="24"/>
        </w:rPr>
      </w:pPr>
      <w:r>
        <w:rPr>
          <w:rFonts w:ascii="Times New Roman" w:hAnsi="Times New Roman" w:cs="Times New Roman"/>
          <w:sz w:val="24"/>
        </w:rPr>
        <w:t>Plaintiffs contend that their cause of action is premised on the conduct of and the role played by fi</w:t>
      </w:r>
      <w:r w:rsidR="004430A0">
        <w:rPr>
          <w:rFonts w:ascii="Times New Roman" w:hAnsi="Times New Roman" w:cs="Times New Roman"/>
          <w:sz w:val="24"/>
        </w:rPr>
        <w:t>r</w:t>
      </w:r>
      <w:r>
        <w:rPr>
          <w:rFonts w:ascii="Times New Roman" w:hAnsi="Times New Roman" w:cs="Times New Roman"/>
          <w:sz w:val="24"/>
        </w:rPr>
        <w:t>st defendant prior to the sig</w:t>
      </w:r>
      <w:r w:rsidR="007C18E7">
        <w:rPr>
          <w:rFonts w:ascii="Times New Roman" w:hAnsi="Times New Roman" w:cs="Times New Roman"/>
          <w:sz w:val="24"/>
        </w:rPr>
        <w:t>n</w:t>
      </w:r>
      <w:r>
        <w:rPr>
          <w:rFonts w:ascii="Times New Roman" w:hAnsi="Times New Roman" w:cs="Times New Roman"/>
          <w:sz w:val="24"/>
        </w:rPr>
        <w:t>ing of the option agreement.  Plaintiffs’ declaration in particular paragraph 6, outlines the basis upon which the documents were handed over to first defendant.  That particular paragraph reads as follows:</w:t>
      </w:r>
    </w:p>
    <w:p w:rsidR="00CA032D" w:rsidRDefault="00CA032D" w:rsidP="006076D8">
      <w:pPr>
        <w:pStyle w:val="NoSpacing"/>
        <w:ind w:left="720"/>
        <w:jc w:val="both"/>
        <w:rPr>
          <w:rFonts w:ascii="Times New Roman" w:hAnsi="Times New Roman" w:cs="Times New Roman"/>
          <w:sz w:val="24"/>
        </w:rPr>
      </w:pPr>
      <w:r>
        <w:rPr>
          <w:rFonts w:ascii="Times New Roman" w:hAnsi="Times New Roman" w:cs="Times New Roman"/>
          <w:sz w:val="24"/>
        </w:rPr>
        <w:t>“The documents w</w:t>
      </w:r>
      <w:r w:rsidR="00E85886">
        <w:rPr>
          <w:rFonts w:ascii="Times New Roman" w:hAnsi="Times New Roman" w:cs="Times New Roman"/>
          <w:sz w:val="24"/>
        </w:rPr>
        <w:t>e</w:t>
      </w:r>
      <w:r>
        <w:rPr>
          <w:rFonts w:ascii="Times New Roman" w:hAnsi="Times New Roman" w:cs="Times New Roman"/>
          <w:sz w:val="24"/>
        </w:rPr>
        <w:t>re surrendered to defendant to update the mining claims with the Department of Mines.”</w:t>
      </w:r>
    </w:p>
    <w:p w:rsidR="006076D8" w:rsidRDefault="006076D8" w:rsidP="006076D8">
      <w:pPr>
        <w:pStyle w:val="NoSpacing"/>
        <w:ind w:left="720"/>
        <w:jc w:val="both"/>
        <w:rPr>
          <w:rFonts w:ascii="Times New Roman" w:hAnsi="Times New Roman" w:cs="Times New Roman"/>
          <w:sz w:val="24"/>
        </w:rPr>
      </w:pPr>
    </w:p>
    <w:p w:rsidR="00CA032D" w:rsidRDefault="00CA032D" w:rsidP="004430A0">
      <w:pPr>
        <w:pStyle w:val="NoSpacing"/>
        <w:spacing w:line="360" w:lineRule="auto"/>
        <w:ind w:firstLine="360"/>
        <w:jc w:val="both"/>
        <w:rPr>
          <w:rFonts w:ascii="Times New Roman" w:hAnsi="Times New Roman" w:cs="Times New Roman"/>
          <w:sz w:val="24"/>
        </w:rPr>
      </w:pPr>
      <w:r>
        <w:rPr>
          <w:rFonts w:ascii="Times New Roman" w:hAnsi="Times New Roman" w:cs="Times New Roman"/>
          <w:sz w:val="24"/>
        </w:rPr>
        <w:t>Plaintiff avers that the cause of action against first defendant is therefore not prem</w:t>
      </w:r>
      <w:r w:rsidR="00885D8A">
        <w:rPr>
          <w:rFonts w:ascii="Times New Roman" w:hAnsi="Times New Roman" w:cs="Times New Roman"/>
          <w:sz w:val="24"/>
        </w:rPr>
        <w:t>is</w:t>
      </w:r>
      <w:r>
        <w:rPr>
          <w:rFonts w:ascii="Times New Roman" w:hAnsi="Times New Roman" w:cs="Times New Roman"/>
          <w:sz w:val="24"/>
        </w:rPr>
        <w:t>ed on the terms and conditions of the option agreement, as the handing over of the documents w</w:t>
      </w:r>
      <w:r w:rsidR="00885D8A">
        <w:rPr>
          <w:rFonts w:ascii="Times New Roman" w:hAnsi="Times New Roman" w:cs="Times New Roman"/>
          <w:sz w:val="24"/>
        </w:rPr>
        <w:t>as</w:t>
      </w:r>
      <w:r>
        <w:rPr>
          <w:rFonts w:ascii="Times New Roman" w:hAnsi="Times New Roman" w:cs="Times New Roman"/>
          <w:sz w:val="24"/>
        </w:rPr>
        <w:t xml:space="preserve"> made prior to the signing of the agreement and first defendant </w:t>
      </w:r>
      <w:r w:rsidR="00E85886">
        <w:rPr>
          <w:rFonts w:ascii="Times New Roman" w:hAnsi="Times New Roman" w:cs="Times New Roman"/>
          <w:sz w:val="24"/>
        </w:rPr>
        <w:t xml:space="preserve">cannot seek to justify holding onto the </w:t>
      </w:r>
      <w:r w:rsidR="00E85886">
        <w:rPr>
          <w:rFonts w:ascii="Times New Roman" w:hAnsi="Times New Roman" w:cs="Times New Roman"/>
          <w:sz w:val="24"/>
        </w:rPr>
        <w:lastRenderedPageBreak/>
        <w:t xml:space="preserve">certificates on the basis of his role as “facilitator”, and in any event, the agreement itself does not provide for a right by the defendants to hold </w:t>
      </w:r>
      <w:r w:rsidR="00885D8A">
        <w:rPr>
          <w:rFonts w:ascii="Times New Roman" w:hAnsi="Times New Roman" w:cs="Times New Roman"/>
          <w:sz w:val="24"/>
        </w:rPr>
        <w:t xml:space="preserve">onto </w:t>
      </w:r>
      <w:r w:rsidR="00E85886">
        <w:rPr>
          <w:rFonts w:ascii="Times New Roman" w:hAnsi="Times New Roman" w:cs="Times New Roman"/>
          <w:sz w:val="24"/>
        </w:rPr>
        <w:t>the certificates pending transfer of the claims.  Plaintiff contends that fir</w:t>
      </w:r>
      <w:r w:rsidR="00885D8A">
        <w:rPr>
          <w:rFonts w:ascii="Times New Roman" w:hAnsi="Times New Roman" w:cs="Times New Roman"/>
          <w:sz w:val="24"/>
        </w:rPr>
        <w:t>st defendant has been properly ci</w:t>
      </w:r>
      <w:r w:rsidR="00E85886">
        <w:rPr>
          <w:rFonts w:ascii="Times New Roman" w:hAnsi="Times New Roman" w:cs="Times New Roman"/>
          <w:sz w:val="24"/>
        </w:rPr>
        <w:t>ted in these proceedings and there is a direct nexus between him and the cause of action and the relief sought by the plaintiffs.</w:t>
      </w:r>
    </w:p>
    <w:p w:rsidR="00E85886" w:rsidRDefault="00E85886" w:rsidP="004430A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his </w:t>
      </w:r>
      <w:proofErr w:type="spellStart"/>
      <w:r>
        <w:rPr>
          <w:rFonts w:ascii="Times New Roman" w:hAnsi="Times New Roman" w:cs="Times New Roman"/>
          <w:sz w:val="24"/>
        </w:rPr>
        <w:t>Decl</w:t>
      </w:r>
      <w:r w:rsidR="00885D8A">
        <w:rPr>
          <w:rFonts w:ascii="Times New Roman" w:hAnsi="Times New Roman" w:cs="Times New Roman"/>
          <w:sz w:val="24"/>
        </w:rPr>
        <w:t>in</w:t>
      </w:r>
      <w:r>
        <w:rPr>
          <w:rFonts w:ascii="Times New Roman" w:hAnsi="Times New Roman" w:cs="Times New Roman"/>
          <w:sz w:val="24"/>
        </w:rPr>
        <w:t>atory</w:t>
      </w:r>
      <w:proofErr w:type="spellEnd"/>
      <w:r>
        <w:rPr>
          <w:rFonts w:ascii="Times New Roman" w:hAnsi="Times New Roman" w:cs="Times New Roman"/>
          <w:sz w:val="24"/>
        </w:rPr>
        <w:t xml:space="preserve"> Plea in </w:t>
      </w:r>
      <w:proofErr w:type="gramStart"/>
      <w:r>
        <w:rPr>
          <w:rFonts w:ascii="Times New Roman" w:hAnsi="Times New Roman" w:cs="Times New Roman"/>
          <w:sz w:val="24"/>
        </w:rPr>
        <w:t>Bar</w:t>
      </w:r>
      <w:proofErr w:type="gramEnd"/>
      <w:r>
        <w:rPr>
          <w:rFonts w:ascii="Times New Roman" w:hAnsi="Times New Roman" w:cs="Times New Roman"/>
          <w:sz w:val="24"/>
        </w:rPr>
        <w:t xml:space="preserve"> first defendant avers that he acted in his capacity as facilitator in the contract between plaintiff and second defendant.  He further avers that he acted not as an agent or representative of either of the two parties to the contract.  This averment is however contradicted by </w:t>
      </w:r>
      <w:proofErr w:type="gramStart"/>
      <w:r>
        <w:rPr>
          <w:rFonts w:ascii="Times New Roman" w:hAnsi="Times New Roman" w:cs="Times New Roman"/>
          <w:sz w:val="24"/>
        </w:rPr>
        <w:t>defendants</w:t>
      </w:r>
      <w:proofErr w:type="gramEnd"/>
      <w:r>
        <w:rPr>
          <w:rFonts w:ascii="Times New Roman" w:hAnsi="Times New Roman" w:cs="Times New Roman"/>
          <w:sz w:val="24"/>
        </w:rPr>
        <w:t xml:space="preserve"> supplementary heads of arguments wherein in paragraph 3 they asse</w:t>
      </w:r>
      <w:r w:rsidR="00885D8A">
        <w:rPr>
          <w:rFonts w:ascii="Times New Roman" w:hAnsi="Times New Roman" w:cs="Times New Roman"/>
          <w:sz w:val="24"/>
        </w:rPr>
        <w:t>r</w:t>
      </w:r>
      <w:r>
        <w:rPr>
          <w:rFonts w:ascii="Times New Roman" w:hAnsi="Times New Roman" w:cs="Times New Roman"/>
          <w:sz w:val="24"/>
        </w:rPr>
        <w:t>t as follows:</w:t>
      </w:r>
    </w:p>
    <w:p w:rsidR="00E85886" w:rsidRDefault="00E85886" w:rsidP="000C78B4">
      <w:pPr>
        <w:pStyle w:val="NoSpacing"/>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It is a clear common law doctrine that an agent cannot be held responsible for the actions of his principal.</w:t>
      </w:r>
    </w:p>
    <w:p w:rsidR="000C78B4" w:rsidRDefault="000C78B4" w:rsidP="000C78B4">
      <w:pPr>
        <w:pStyle w:val="NoSpacing"/>
        <w:ind w:left="1440" w:hanging="720"/>
        <w:jc w:val="both"/>
        <w:rPr>
          <w:rFonts w:ascii="Times New Roman" w:hAnsi="Times New Roman" w:cs="Times New Roman"/>
          <w:sz w:val="24"/>
        </w:rPr>
      </w:pPr>
    </w:p>
    <w:p w:rsidR="00E85886" w:rsidRDefault="00E85886" w:rsidP="000C78B4">
      <w:pPr>
        <w:pStyle w:val="NoSpacing"/>
        <w:ind w:left="144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In this case before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it is a trite fact that, first defendant was an agent who was tasked to locate a seller of mining claims and once found, to collect the mining claims and deliver them to second defendant, his principal, so that it may conduct an appropriate due diligence.”</w:t>
      </w:r>
    </w:p>
    <w:p w:rsidR="000C78B4" w:rsidRDefault="000C78B4" w:rsidP="000C78B4">
      <w:pPr>
        <w:pStyle w:val="NoSpacing"/>
        <w:ind w:left="1440" w:hanging="720"/>
        <w:jc w:val="both"/>
        <w:rPr>
          <w:rFonts w:ascii="Times New Roman" w:hAnsi="Times New Roman" w:cs="Times New Roman"/>
          <w:sz w:val="24"/>
        </w:rPr>
      </w:pPr>
    </w:p>
    <w:p w:rsidR="006076D8" w:rsidRDefault="006076D8"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This apparent contradiction in the position taken by first defendant has not been explained.  The first defendant cannot have it both ways.  In my view, first defendant’s argument does not hold any water and does not make sense.  The plaintiffs delivered the registration certificates to first defendant for the purpose of updating the records with Department of Mines.  There is a clear contractual nexus between the plaintiff’s and the first defendant in his personal capacity.  The transaction too</w:t>
      </w:r>
      <w:r w:rsidR="007C18E7">
        <w:rPr>
          <w:rFonts w:ascii="Times New Roman" w:hAnsi="Times New Roman" w:cs="Times New Roman"/>
          <w:sz w:val="24"/>
        </w:rPr>
        <w:t>k</w:t>
      </w:r>
      <w:r>
        <w:rPr>
          <w:rFonts w:ascii="Times New Roman" w:hAnsi="Times New Roman" w:cs="Times New Roman"/>
          <w:sz w:val="24"/>
        </w:rPr>
        <w:t xml:space="preserve"> place well before the option agreement between plaintiffs and the second defendant was entered into.   I take the view that the dispute between the parties is </w:t>
      </w:r>
      <w:r w:rsidR="00885D8A">
        <w:rPr>
          <w:rFonts w:ascii="Times New Roman" w:hAnsi="Times New Roman" w:cs="Times New Roman"/>
          <w:sz w:val="24"/>
        </w:rPr>
        <w:t>c</w:t>
      </w:r>
      <w:r>
        <w:rPr>
          <w:rFonts w:ascii="Times New Roman" w:hAnsi="Times New Roman" w:cs="Times New Roman"/>
          <w:sz w:val="24"/>
        </w:rPr>
        <w:t xml:space="preserve">entered on establishing whether or not the defendants have a right to retain plaintiff’s registration certificates.  This dispute does not in </w:t>
      </w:r>
      <w:r w:rsidR="00885D8A">
        <w:rPr>
          <w:rFonts w:ascii="Times New Roman" w:hAnsi="Times New Roman" w:cs="Times New Roman"/>
          <w:sz w:val="24"/>
        </w:rPr>
        <w:t xml:space="preserve">my </w:t>
      </w:r>
      <w:r>
        <w:rPr>
          <w:rFonts w:ascii="Times New Roman" w:hAnsi="Times New Roman" w:cs="Times New Roman"/>
          <w:sz w:val="24"/>
        </w:rPr>
        <w:t>view, arise out of th</w:t>
      </w:r>
      <w:r w:rsidR="00794502">
        <w:rPr>
          <w:rFonts w:ascii="Times New Roman" w:hAnsi="Times New Roman" w:cs="Times New Roman"/>
          <w:sz w:val="24"/>
        </w:rPr>
        <w:t>e performance of the option but</w:t>
      </w:r>
      <w:r>
        <w:rPr>
          <w:rFonts w:ascii="Times New Roman" w:hAnsi="Times New Roman" w:cs="Times New Roman"/>
          <w:sz w:val="24"/>
        </w:rPr>
        <w:t xml:space="preserve"> arose prior to the signing of the agreement.  It is curious to note that whilst the option agreement refers to the performance of due diligence with respect to the mining claims, there is no specific mention of delivery of the registration certificate</w:t>
      </w:r>
      <w:r w:rsidR="00885D8A">
        <w:rPr>
          <w:rFonts w:ascii="Times New Roman" w:hAnsi="Times New Roman" w:cs="Times New Roman"/>
          <w:sz w:val="24"/>
        </w:rPr>
        <w:t>s</w:t>
      </w:r>
      <w:r>
        <w:rPr>
          <w:rFonts w:ascii="Times New Roman" w:hAnsi="Times New Roman" w:cs="Times New Roman"/>
          <w:sz w:val="24"/>
        </w:rPr>
        <w:t xml:space="preserve"> to the second defendant in the contract itself.</w:t>
      </w:r>
    </w:p>
    <w:p w:rsidR="006076D8" w:rsidRDefault="006076D8"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w:t>
      </w:r>
      <w:r w:rsidRPr="006076D8">
        <w:rPr>
          <w:rFonts w:ascii="Times New Roman" w:hAnsi="Times New Roman" w:cs="Times New Roman"/>
          <w:i/>
          <w:sz w:val="24"/>
        </w:rPr>
        <w:t>Independence Mining (</w:t>
      </w:r>
      <w:proofErr w:type="spellStart"/>
      <w:r w:rsidRPr="006076D8">
        <w:rPr>
          <w:rFonts w:ascii="Times New Roman" w:hAnsi="Times New Roman" w:cs="Times New Roman"/>
          <w:i/>
          <w:sz w:val="24"/>
        </w:rPr>
        <w:t>Pvt</w:t>
      </w:r>
      <w:proofErr w:type="spellEnd"/>
      <w:r w:rsidRPr="006076D8">
        <w:rPr>
          <w:rFonts w:ascii="Times New Roman" w:hAnsi="Times New Roman" w:cs="Times New Roman"/>
          <w:i/>
          <w:sz w:val="24"/>
        </w:rPr>
        <w:t>) Ltd</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r w:rsidRPr="006076D8">
        <w:rPr>
          <w:rFonts w:ascii="Times New Roman" w:hAnsi="Times New Roman" w:cs="Times New Roman"/>
          <w:i/>
          <w:sz w:val="24"/>
        </w:rPr>
        <w:t>Fawcett Security Operations (</w:t>
      </w:r>
      <w:proofErr w:type="spellStart"/>
      <w:r w:rsidRPr="006076D8">
        <w:rPr>
          <w:rFonts w:ascii="Times New Roman" w:hAnsi="Times New Roman" w:cs="Times New Roman"/>
          <w:i/>
          <w:sz w:val="24"/>
        </w:rPr>
        <w:t>Pvt</w:t>
      </w:r>
      <w:proofErr w:type="spellEnd"/>
      <w:r w:rsidRPr="006076D8">
        <w:rPr>
          <w:rFonts w:ascii="Times New Roman" w:hAnsi="Times New Roman" w:cs="Times New Roman"/>
          <w:i/>
          <w:sz w:val="24"/>
        </w:rPr>
        <w:t>) Ltd</w:t>
      </w:r>
      <w:r>
        <w:rPr>
          <w:rFonts w:ascii="Times New Roman" w:hAnsi="Times New Roman" w:cs="Times New Roman"/>
          <w:sz w:val="24"/>
        </w:rPr>
        <w:t xml:space="preserve"> 1991 (1) ZLR 268 H, </w:t>
      </w:r>
      <w:r w:rsidRPr="006076D8">
        <w:rPr>
          <w:rFonts w:ascii="Times New Roman" w:hAnsi="Times New Roman" w:cs="Times New Roman"/>
        </w:rPr>
        <w:t xml:space="preserve">CHIDYAUSIKU, J </w:t>
      </w:r>
      <w:r>
        <w:rPr>
          <w:rFonts w:ascii="Times New Roman" w:hAnsi="Times New Roman" w:cs="Times New Roman"/>
          <w:sz w:val="24"/>
        </w:rPr>
        <w:t>(as he then was) states at page 271 as follows:</w:t>
      </w:r>
    </w:p>
    <w:p w:rsidR="006076D8" w:rsidRDefault="006076D8" w:rsidP="000C78B4">
      <w:pPr>
        <w:pStyle w:val="NoSpacing"/>
        <w:ind w:left="720"/>
        <w:jc w:val="both"/>
        <w:rPr>
          <w:rFonts w:ascii="Times New Roman" w:hAnsi="Times New Roman" w:cs="Times New Roman"/>
        </w:rPr>
      </w:pPr>
      <w:r w:rsidRPr="000C78B4">
        <w:rPr>
          <w:rFonts w:ascii="Times New Roman" w:hAnsi="Times New Roman" w:cs="Times New Roman"/>
        </w:rPr>
        <w:lastRenderedPageBreak/>
        <w:t xml:space="preserve">“This dispute therefore, is really about the performance of the contract.  The arbitration clause covers any dispute arising from the provisions of the agreement.  A dispute about the performance, non-performance or inadequate performance of a contract cannot but arise from the provisions of the contract.  In my view the fact that </w:t>
      </w:r>
      <w:r w:rsidR="00885D8A">
        <w:rPr>
          <w:rFonts w:ascii="Times New Roman" w:hAnsi="Times New Roman" w:cs="Times New Roman"/>
        </w:rPr>
        <w:t xml:space="preserve">the </w:t>
      </w:r>
      <w:r w:rsidRPr="000C78B4">
        <w:rPr>
          <w:rFonts w:ascii="Times New Roman" w:hAnsi="Times New Roman" w:cs="Times New Roman"/>
        </w:rPr>
        <w:t xml:space="preserve">dispute is </w:t>
      </w:r>
      <w:r w:rsidR="003D1E7C" w:rsidRPr="000C78B4">
        <w:rPr>
          <w:rFonts w:ascii="Times New Roman" w:hAnsi="Times New Roman" w:cs="Times New Roman"/>
        </w:rPr>
        <w:t xml:space="preserve">couched in </w:t>
      </w:r>
      <w:proofErr w:type="spellStart"/>
      <w:r w:rsidR="003D1E7C" w:rsidRPr="000C78B4">
        <w:rPr>
          <w:rFonts w:ascii="Times New Roman" w:hAnsi="Times New Roman" w:cs="Times New Roman"/>
        </w:rPr>
        <w:t>delictual</w:t>
      </w:r>
      <w:proofErr w:type="spellEnd"/>
      <w:r w:rsidR="003D1E7C" w:rsidRPr="000C78B4">
        <w:rPr>
          <w:rFonts w:ascii="Times New Roman" w:hAnsi="Times New Roman" w:cs="Times New Roman"/>
        </w:rPr>
        <w:t xml:space="preserve"> terms as is the case here, does not affect the issue and is of no consequence.  For this reason I have come to the conclusion that the second cause of action also falls within the arbitration clause.”</w:t>
      </w:r>
    </w:p>
    <w:p w:rsidR="000C78B4" w:rsidRPr="000C78B4" w:rsidRDefault="000C78B4" w:rsidP="000C78B4">
      <w:pPr>
        <w:pStyle w:val="NoSpacing"/>
        <w:ind w:left="720"/>
        <w:jc w:val="both"/>
        <w:rPr>
          <w:rFonts w:ascii="Times New Roman" w:hAnsi="Times New Roman" w:cs="Times New Roman"/>
        </w:rPr>
      </w:pPr>
    </w:p>
    <w:p w:rsidR="003D1E7C" w:rsidRDefault="003D1E7C"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On the facts of this matter, I am not convinced that the dispute between the parties extends to the provisions and interpretation of the option agreement.  In any event, it is noted that the defendants’ special plea in bar is fundamentally flawed in that the dispute sought to be referred to</w:t>
      </w:r>
      <w:bookmarkStart w:id="0" w:name="_GoBack"/>
      <w:bookmarkEnd w:id="0"/>
      <w:r>
        <w:rPr>
          <w:rFonts w:ascii="Times New Roman" w:hAnsi="Times New Roman" w:cs="Times New Roman"/>
          <w:sz w:val="24"/>
        </w:rPr>
        <w:t xml:space="preserve"> by defendants does not appear </w:t>
      </w:r>
      <w:r w:rsidRPr="003D1E7C">
        <w:rPr>
          <w:rFonts w:ascii="Times New Roman" w:hAnsi="Times New Roman" w:cs="Times New Roman"/>
          <w:i/>
          <w:sz w:val="24"/>
        </w:rPr>
        <w:t>ex facie</w:t>
      </w:r>
      <w:r>
        <w:rPr>
          <w:rFonts w:ascii="Times New Roman" w:hAnsi="Times New Roman" w:cs="Times New Roman"/>
          <w:sz w:val="24"/>
        </w:rPr>
        <w:t>, f</w:t>
      </w:r>
      <w:r w:rsidR="00885D8A">
        <w:rPr>
          <w:rFonts w:ascii="Times New Roman" w:hAnsi="Times New Roman" w:cs="Times New Roman"/>
          <w:sz w:val="24"/>
        </w:rPr>
        <w:t xml:space="preserve">rom the pleadings.  In the </w:t>
      </w:r>
      <w:proofErr w:type="spellStart"/>
      <w:r w:rsidR="00885D8A">
        <w:rPr>
          <w:rFonts w:ascii="Times New Roman" w:hAnsi="Times New Roman" w:cs="Times New Roman"/>
          <w:sz w:val="24"/>
        </w:rPr>
        <w:t>Declin</w:t>
      </w:r>
      <w:r>
        <w:rPr>
          <w:rFonts w:ascii="Times New Roman" w:hAnsi="Times New Roman" w:cs="Times New Roman"/>
          <w:sz w:val="24"/>
        </w:rPr>
        <w:t>atory</w:t>
      </w:r>
      <w:proofErr w:type="spellEnd"/>
      <w:r>
        <w:rPr>
          <w:rFonts w:ascii="Times New Roman" w:hAnsi="Times New Roman" w:cs="Times New Roman"/>
          <w:sz w:val="24"/>
        </w:rPr>
        <w:t xml:space="preserve"> Plea, the defendants did not disclose the dispute.  The defendants seek to import into the pleadings, the dispute by raising the issue in the heads of argum</w:t>
      </w:r>
      <w:r w:rsidR="000C78B4">
        <w:rPr>
          <w:rFonts w:ascii="Times New Roman" w:hAnsi="Times New Roman" w:cs="Times New Roman"/>
          <w:sz w:val="24"/>
        </w:rPr>
        <w:t xml:space="preserve">ent.  This, the defendants may </w:t>
      </w:r>
      <w:r>
        <w:rPr>
          <w:rFonts w:ascii="Times New Roman" w:hAnsi="Times New Roman" w:cs="Times New Roman"/>
          <w:sz w:val="24"/>
        </w:rPr>
        <w:t>not do, with</w:t>
      </w:r>
      <w:r w:rsidR="00885D8A">
        <w:rPr>
          <w:rFonts w:ascii="Times New Roman" w:hAnsi="Times New Roman" w:cs="Times New Roman"/>
          <w:sz w:val="24"/>
        </w:rPr>
        <w:t>out</w:t>
      </w:r>
      <w:r>
        <w:rPr>
          <w:rFonts w:ascii="Times New Roman" w:hAnsi="Times New Roman" w:cs="Times New Roman"/>
          <w:sz w:val="24"/>
        </w:rPr>
        <w:t xml:space="preserve"> seeking to amend the pleadings.  It is trite that the </w:t>
      </w:r>
      <w:proofErr w:type="spellStart"/>
      <w:r>
        <w:rPr>
          <w:rFonts w:ascii="Times New Roman" w:hAnsi="Times New Roman" w:cs="Times New Roman"/>
          <w:sz w:val="24"/>
        </w:rPr>
        <w:t>Decl</w:t>
      </w:r>
      <w:r w:rsidR="00885D8A">
        <w:rPr>
          <w:rFonts w:ascii="Times New Roman" w:hAnsi="Times New Roman" w:cs="Times New Roman"/>
          <w:sz w:val="24"/>
        </w:rPr>
        <w:t>in</w:t>
      </w:r>
      <w:r>
        <w:rPr>
          <w:rFonts w:ascii="Times New Roman" w:hAnsi="Times New Roman" w:cs="Times New Roman"/>
          <w:sz w:val="24"/>
        </w:rPr>
        <w:t>atory</w:t>
      </w:r>
      <w:proofErr w:type="spellEnd"/>
      <w:r>
        <w:rPr>
          <w:rFonts w:ascii="Times New Roman" w:hAnsi="Times New Roman" w:cs="Times New Roman"/>
          <w:sz w:val="24"/>
        </w:rPr>
        <w:t xml:space="preserve"> Plea was supposed to be preceded by a substantive plea on the merits.  The failure by the defendants to file their substantive plea before raising the plea in abatement is fatal to their case.</w:t>
      </w:r>
    </w:p>
    <w:p w:rsidR="003D1E7C" w:rsidRDefault="003D1E7C"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w:t>
      </w:r>
      <w:r w:rsidRPr="000C78B4">
        <w:rPr>
          <w:rFonts w:ascii="Times New Roman" w:hAnsi="Times New Roman" w:cs="Times New Roman"/>
          <w:i/>
          <w:sz w:val="24"/>
        </w:rPr>
        <w:t>Cargill Zimbabwe</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proofErr w:type="spellStart"/>
      <w:r w:rsidRPr="000C78B4">
        <w:rPr>
          <w:rFonts w:ascii="Times New Roman" w:hAnsi="Times New Roman" w:cs="Times New Roman"/>
          <w:i/>
          <w:sz w:val="24"/>
        </w:rPr>
        <w:t>Culvernh</w:t>
      </w:r>
      <w:r w:rsidR="00D83F4D">
        <w:rPr>
          <w:rFonts w:ascii="Times New Roman" w:hAnsi="Times New Roman" w:cs="Times New Roman"/>
          <w:i/>
          <w:sz w:val="24"/>
        </w:rPr>
        <w:t>a</w:t>
      </w:r>
      <w:r w:rsidRPr="000C78B4">
        <w:rPr>
          <w:rFonts w:ascii="Times New Roman" w:hAnsi="Times New Roman" w:cs="Times New Roman"/>
          <w:i/>
          <w:sz w:val="24"/>
        </w:rPr>
        <w:t>m</w:t>
      </w:r>
      <w:proofErr w:type="spellEnd"/>
      <w:r w:rsidRPr="000C78B4">
        <w:rPr>
          <w:rFonts w:ascii="Times New Roman" w:hAnsi="Times New Roman" w:cs="Times New Roman"/>
          <w:i/>
          <w:sz w:val="24"/>
        </w:rPr>
        <w:t xml:space="preserve"> Trading (</w:t>
      </w:r>
      <w:proofErr w:type="spellStart"/>
      <w:r w:rsidRPr="000C78B4">
        <w:rPr>
          <w:rFonts w:ascii="Times New Roman" w:hAnsi="Times New Roman" w:cs="Times New Roman"/>
          <w:i/>
          <w:sz w:val="24"/>
        </w:rPr>
        <w:t>Pt</w:t>
      </w:r>
      <w:proofErr w:type="spellEnd"/>
      <w:r w:rsidRPr="000C78B4">
        <w:rPr>
          <w:rFonts w:ascii="Times New Roman" w:hAnsi="Times New Roman" w:cs="Times New Roman"/>
          <w:i/>
          <w:sz w:val="24"/>
        </w:rPr>
        <w:t>) Ltd</w:t>
      </w:r>
      <w:r>
        <w:rPr>
          <w:rFonts w:ascii="Times New Roman" w:hAnsi="Times New Roman" w:cs="Times New Roman"/>
          <w:sz w:val="24"/>
        </w:rPr>
        <w:t xml:space="preserve"> HH 42/06 at page 2 of the cyclostyled judgment, </w:t>
      </w:r>
      <w:r w:rsidRPr="000C78B4">
        <w:rPr>
          <w:rFonts w:ascii="Times New Roman" w:hAnsi="Times New Roman" w:cs="Times New Roman"/>
        </w:rPr>
        <w:t xml:space="preserve">MAKARAU, J </w:t>
      </w:r>
      <w:r>
        <w:rPr>
          <w:rFonts w:ascii="Times New Roman" w:hAnsi="Times New Roman" w:cs="Times New Roman"/>
          <w:sz w:val="24"/>
        </w:rPr>
        <w:t>(as she then was) stated as follows:</w:t>
      </w:r>
    </w:p>
    <w:p w:rsidR="003D1E7C" w:rsidRDefault="003D1E7C" w:rsidP="000C78B4">
      <w:pPr>
        <w:pStyle w:val="NoSpacing"/>
        <w:ind w:left="720"/>
        <w:jc w:val="both"/>
        <w:rPr>
          <w:rFonts w:ascii="Times New Roman" w:hAnsi="Times New Roman" w:cs="Times New Roman"/>
        </w:rPr>
      </w:pPr>
      <w:r w:rsidRPr="000C78B4">
        <w:rPr>
          <w:rFonts w:ascii="Times New Roman" w:hAnsi="Times New Roman" w:cs="Times New Roman"/>
        </w:rPr>
        <w:t xml:space="preserve">“From the above, it appears to me that before raising a special plea staying proceedings in this court and referring the matter to arbitration, the defendant must file a plea as to the merits of the matter for the dispute between the parties to arise </w:t>
      </w:r>
      <w:r w:rsidRPr="000C78B4">
        <w:rPr>
          <w:rFonts w:ascii="Times New Roman" w:hAnsi="Times New Roman" w:cs="Times New Roman"/>
          <w:i/>
        </w:rPr>
        <w:t>ex facie</w:t>
      </w:r>
      <w:r w:rsidRPr="000C78B4">
        <w:rPr>
          <w:rFonts w:ascii="Times New Roman" w:hAnsi="Times New Roman" w:cs="Times New Roman"/>
        </w:rPr>
        <w:t xml:space="preserve"> the pleadings.  It further appears to me that any practice short of this will result in the special plea being prematurely filed.</w:t>
      </w:r>
      <w:r w:rsidR="000C78B4" w:rsidRPr="000C78B4">
        <w:rPr>
          <w:rFonts w:ascii="Times New Roman" w:hAnsi="Times New Roman" w:cs="Times New Roman"/>
        </w:rPr>
        <w:t>”</w:t>
      </w:r>
    </w:p>
    <w:p w:rsidR="000C78B4" w:rsidRPr="000C78B4" w:rsidRDefault="000C78B4" w:rsidP="000C78B4">
      <w:pPr>
        <w:pStyle w:val="NoSpacing"/>
        <w:ind w:left="720"/>
        <w:jc w:val="both"/>
        <w:rPr>
          <w:rFonts w:ascii="Times New Roman" w:hAnsi="Times New Roman" w:cs="Times New Roman"/>
        </w:rPr>
      </w:pPr>
    </w:p>
    <w:p w:rsidR="003D1E7C" w:rsidRDefault="003D1E7C"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FD03C1">
        <w:rPr>
          <w:rFonts w:ascii="Times New Roman" w:hAnsi="Times New Roman" w:cs="Times New Roman"/>
          <w:i/>
          <w:sz w:val="24"/>
        </w:rPr>
        <w:t xml:space="preserve">In </w:t>
      </w:r>
      <w:proofErr w:type="spellStart"/>
      <w:r w:rsidRPr="00FD03C1">
        <w:rPr>
          <w:rFonts w:ascii="Times New Roman" w:hAnsi="Times New Roman" w:cs="Times New Roman"/>
          <w:i/>
          <w:sz w:val="24"/>
        </w:rPr>
        <w:t>casu</w:t>
      </w:r>
      <w:proofErr w:type="spellEnd"/>
      <w:r>
        <w:rPr>
          <w:rFonts w:ascii="Times New Roman" w:hAnsi="Times New Roman" w:cs="Times New Roman"/>
          <w:sz w:val="24"/>
        </w:rPr>
        <w:t>, no plea was filed to meet the claim.  In the absence of a plea, no dispute arises between the parties.</w:t>
      </w:r>
    </w:p>
    <w:p w:rsidR="003D1E7C" w:rsidRDefault="003D1E7C"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See also </w:t>
      </w:r>
      <w:r w:rsidRPr="00FD03C1">
        <w:rPr>
          <w:rFonts w:ascii="Times New Roman" w:hAnsi="Times New Roman" w:cs="Times New Roman"/>
          <w:i/>
          <w:sz w:val="24"/>
        </w:rPr>
        <w:t>PTA Bank</w:t>
      </w:r>
      <w:r>
        <w:rPr>
          <w:rFonts w:ascii="Times New Roman" w:hAnsi="Times New Roman" w:cs="Times New Roman"/>
          <w:sz w:val="24"/>
        </w:rPr>
        <w:t xml:space="preserve"> v </w:t>
      </w:r>
      <w:proofErr w:type="spellStart"/>
      <w:r w:rsidRPr="00FD03C1">
        <w:rPr>
          <w:rFonts w:ascii="Times New Roman" w:hAnsi="Times New Roman" w:cs="Times New Roman"/>
          <w:i/>
          <w:sz w:val="24"/>
        </w:rPr>
        <w:t>Elanne</w:t>
      </w:r>
      <w:proofErr w:type="spellEnd"/>
      <w:r w:rsidRPr="00FD03C1">
        <w:rPr>
          <w:rFonts w:ascii="Times New Roman" w:hAnsi="Times New Roman" w:cs="Times New Roman"/>
          <w:i/>
          <w:sz w:val="24"/>
        </w:rPr>
        <w:t xml:space="preserve"> (</w:t>
      </w:r>
      <w:proofErr w:type="spellStart"/>
      <w:r w:rsidRPr="00FD03C1">
        <w:rPr>
          <w:rFonts w:ascii="Times New Roman" w:hAnsi="Times New Roman" w:cs="Times New Roman"/>
          <w:i/>
          <w:sz w:val="24"/>
        </w:rPr>
        <w:t>Pvt</w:t>
      </w:r>
      <w:proofErr w:type="spellEnd"/>
      <w:r w:rsidRPr="00FD03C1">
        <w:rPr>
          <w:rFonts w:ascii="Times New Roman" w:hAnsi="Times New Roman" w:cs="Times New Roman"/>
          <w:i/>
          <w:sz w:val="24"/>
        </w:rPr>
        <w:t>) Ltd and Others</w:t>
      </w:r>
      <w:r>
        <w:rPr>
          <w:rFonts w:ascii="Times New Roman" w:hAnsi="Times New Roman" w:cs="Times New Roman"/>
          <w:sz w:val="24"/>
        </w:rPr>
        <w:t xml:space="preserve"> 2000 (1) ZLR 156 and </w:t>
      </w:r>
      <w:r w:rsidRPr="00FD03C1">
        <w:rPr>
          <w:rFonts w:ascii="Times New Roman" w:hAnsi="Times New Roman" w:cs="Times New Roman"/>
          <w:i/>
          <w:sz w:val="24"/>
        </w:rPr>
        <w:t>Zimbabwe Broadcasting Corporation</w:t>
      </w:r>
      <w:r>
        <w:rPr>
          <w:rFonts w:ascii="Times New Roman" w:hAnsi="Times New Roman" w:cs="Times New Roman"/>
          <w:sz w:val="24"/>
        </w:rPr>
        <w:t xml:space="preserve"> v </w:t>
      </w:r>
      <w:proofErr w:type="spellStart"/>
      <w:r w:rsidRPr="00FD03C1">
        <w:rPr>
          <w:rFonts w:ascii="Times New Roman" w:hAnsi="Times New Roman" w:cs="Times New Roman"/>
          <w:i/>
          <w:sz w:val="24"/>
        </w:rPr>
        <w:t>Flanne</w:t>
      </w:r>
      <w:proofErr w:type="spellEnd"/>
      <w:r w:rsidRPr="00FD03C1">
        <w:rPr>
          <w:rFonts w:ascii="Times New Roman" w:hAnsi="Times New Roman" w:cs="Times New Roman"/>
          <w:i/>
          <w:sz w:val="24"/>
        </w:rPr>
        <w:t xml:space="preserve"> Lily Broadcasting (</w:t>
      </w:r>
      <w:proofErr w:type="spellStart"/>
      <w:r w:rsidRPr="00FD03C1">
        <w:rPr>
          <w:rFonts w:ascii="Times New Roman" w:hAnsi="Times New Roman" w:cs="Times New Roman"/>
          <w:i/>
          <w:sz w:val="24"/>
        </w:rPr>
        <w:t>Pvt</w:t>
      </w:r>
      <w:proofErr w:type="spellEnd"/>
      <w:r w:rsidRPr="00FD03C1">
        <w:rPr>
          <w:rFonts w:ascii="Times New Roman" w:hAnsi="Times New Roman" w:cs="Times New Roman"/>
          <w:i/>
          <w:sz w:val="24"/>
        </w:rPr>
        <w:t>) Ltd</w:t>
      </w:r>
      <w:r>
        <w:rPr>
          <w:rFonts w:ascii="Times New Roman" w:hAnsi="Times New Roman" w:cs="Times New Roman"/>
          <w:sz w:val="24"/>
        </w:rPr>
        <w:t xml:space="preserve"> </w:t>
      </w:r>
      <w:r w:rsidRPr="00FD03C1">
        <w:rPr>
          <w:rFonts w:ascii="Times New Roman" w:hAnsi="Times New Roman" w:cs="Times New Roman"/>
          <w:i/>
          <w:sz w:val="24"/>
        </w:rPr>
        <w:t>t/a Joy</w:t>
      </w:r>
      <w:r>
        <w:rPr>
          <w:rFonts w:ascii="Times New Roman" w:hAnsi="Times New Roman" w:cs="Times New Roman"/>
          <w:sz w:val="24"/>
        </w:rPr>
        <w:t xml:space="preserve"> TV 1999 (2) ZLR 448 (H).</w:t>
      </w:r>
    </w:p>
    <w:p w:rsidR="003D1E7C" w:rsidRDefault="003D1E7C"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On the basis of the </w:t>
      </w:r>
      <w:proofErr w:type="spellStart"/>
      <w:r>
        <w:rPr>
          <w:rFonts w:ascii="Times New Roman" w:hAnsi="Times New Roman" w:cs="Times New Roman"/>
          <w:sz w:val="24"/>
        </w:rPr>
        <w:t>aforegoing</w:t>
      </w:r>
      <w:proofErr w:type="spellEnd"/>
      <w:r>
        <w:rPr>
          <w:rFonts w:ascii="Times New Roman" w:hAnsi="Times New Roman" w:cs="Times New Roman"/>
          <w:sz w:val="24"/>
        </w:rPr>
        <w:t xml:space="preserve"> it is needless for me to make a determination on wh</w:t>
      </w:r>
      <w:r w:rsidR="00FD03C1">
        <w:rPr>
          <w:rFonts w:ascii="Times New Roman" w:hAnsi="Times New Roman" w:cs="Times New Roman"/>
          <w:sz w:val="24"/>
        </w:rPr>
        <w:t>e</w:t>
      </w:r>
      <w:r>
        <w:rPr>
          <w:rFonts w:ascii="Times New Roman" w:hAnsi="Times New Roman" w:cs="Times New Roman"/>
          <w:sz w:val="24"/>
        </w:rPr>
        <w:t>ther or not this court’s jurisdiction is ousted by the contract between plaintiff and the second defendant.  The filing of the Special Plea was premature for the reasons I have already articulated.  It is my view that the Special Plea was ill-</w:t>
      </w:r>
      <w:r w:rsidR="00FD03C1">
        <w:rPr>
          <w:rFonts w:ascii="Times New Roman" w:hAnsi="Times New Roman" w:cs="Times New Roman"/>
          <w:sz w:val="24"/>
        </w:rPr>
        <w:t>conceived</w:t>
      </w:r>
      <w:r>
        <w:rPr>
          <w:rFonts w:ascii="Times New Roman" w:hAnsi="Times New Roman" w:cs="Times New Roman"/>
          <w:sz w:val="24"/>
        </w:rPr>
        <w:t xml:space="preserve"> </w:t>
      </w:r>
      <w:r w:rsidR="00FD03C1">
        <w:rPr>
          <w:rFonts w:ascii="Times New Roman" w:hAnsi="Times New Roman" w:cs="Times New Roman"/>
          <w:sz w:val="24"/>
        </w:rPr>
        <w:t>and cannot stand.</w:t>
      </w:r>
    </w:p>
    <w:p w:rsidR="00FC7690" w:rsidRDefault="00FC7690" w:rsidP="006076D8">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I make the following order:</w:t>
      </w:r>
    </w:p>
    <w:p w:rsidR="00FC7690" w:rsidRDefault="00FC7690" w:rsidP="00FC7690">
      <w:pPr>
        <w:pStyle w:val="NoSpacing"/>
        <w:spacing w:line="360" w:lineRule="auto"/>
        <w:jc w:val="both"/>
        <w:rPr>
          <w:rFonts w:ascii="Times New Roman" w:hAnsi="Times New Roman" w:cs="Times New Roman"/>
          <w:sz w:val="24"/>
        </w:rPr>
      </w:pPr>
      <w:r w:rsidRPr="00FC7690">
        <w:rPr>
          <w:rFonts w:ascii="Times New Roman" w:hAnsi="Times New Roman" w:cs="Times New Roman"/>
          <w:sz w:val="24"/>
        </w:rPr>
        <w:t>1.</w:t>
      </w:r>
      <w:r>
        <w:rPr>
          <w:rFonts w:ascii="Times New Roman" w:hAnsi="Times New Roman" w:cs="Times New Roman"/>
          <w:sz w:val="24"/>
        </w:rPr>
        <w:tab/>
        <w:t>The special plea is hereby dismissed.</w:t>
      </w:r>
    </w:p>
    <w:p w:rsidR="00FC7690" w:rsidRDefault="00FC7690" w:rsidP="00FC7690">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t>The defendants shall meet the costs of suit.</w:t>
      </w:r>
    </w:p>
    <w:p w:rsidR="00FC7690" w:rsidRDefault="00FC7690" w:rsidP="00FC7690">
      <w:pPr>
        <w:pStyle w:val="NoSpacing"/>
        <w:spacing w:line="360" w:lineRule="auto"/>
        <w:jc w:val="both"/>
        <w:rPr>
          <w:rFonts w:ascii="Times New Roman" w:hAnsi="Times New Roman" w:cs="Times New Roman"/>
          <w:sz w:val="24"/>
        </w:rPr>
      </w:pPr>
    </w:p>
    <w:p w:rsidR="00FC7690" w:rsidRDefault="00FC7690" w:rsidP="00FC7690">
      <w:pPr>
        <w:pStyle w:val="NoSpacing"/>
        <w:spacing w:line="360" w:lineRule="auto"/>
        <w:jc w:val="both"/>
        <w:rPr>
          <w:rFonts w:ascii="Times New Roman" w:hAnsi="Times New Roman" w:cs="Times New Roman"/>
          <w:sz w:val="24"/>
        </w:rPr>
      </w:pPr>
    </w:p>
    <w:p w:rsidR="00FC7690" w:rsidRDefault="00FC7690" w:rsidP="00FC7690">
      <w:pPr>
        <w:pStyle w:val="NoSpacing"/>
        <w:jc w:val="both"/>
        <w:rPr>
          <w:rFonts w:ascii="Times New Roman" w:hAnsi="Times New Roman" w:cs="Times New Roman"/>
          <w:sz w:val="24"/>
        </w:rPr>
      </w:pPr>
      <w:proofErr w:type="spellStart"/>
      <w:r w:rsidRPr="00FC7690">
        <w:rPr>
          <w:rFonts w:ascii="Times New Roman" w:hAnsi="Times New Roman" w:cs="Times New Roman"/>
          <w:i/>
          <w:sz w:val="24"/>
        </w:rPr>
        <w:t>Messrs</w:t>
      </w:r>
      <w:proofErr w:type="spellEnd"/>
      <w:r w:rsidRPr="00FC7690">
        <w:rPr>
          <w:rFonts w:ascii="Times New Roman" w:hAnsi="Times New Roman" w:cs="Times New Roman"/>
          <w:i/>
          <w:sz w:val="24"/>
        </w:rPr>
        <w:t xml:space="preserve"> Webb, Low &amp; Barry</w:t>
      </w:r>
      <w:r>
        <w:rPr>
          <w:rFonts w:ascii="Times New Roman" w:hAnsi="Times New Roman" w:cs="Times New Roman"/>
          <w:sz w:val="24"/>
        </w:rPr>
        <w:t>, applicants’ legal practitioners</w:t>
      </w:r>
    </w:p>
    <w:p w:rsidR="00FC7690" w:rsidRDefault="00FC7690" w:rsidP="00FC7690">
      <w:pPr>
        <w:pStyle w:val="NoSpacing"/>
        <w:jc w:val="both"/>
        <w:rPr>
          <w:rFonts w:ascii="Times New Roman" w:hAnsi="Times New Roman" w:cs="Times New Roman"/>
          <w:sz w:val="24"/>
        </w:rPr>
      </w:pPr>
      <w:proofErr w:type="spellStart"/>
      <w:r w:rsidRPr="00FC7690">
        <w:rPr>
          <w:rFonts w:ascii="Times New Roman" w:hAnsi="Times New Roman" w:cs="Times New Roman"/>
          <w:i/>
          <w:sz w:val="24"/>
        </w:rPr>
        <w:t>Mashayamombe</w:t>
      </w:r>
      <w:proofErr w:type="spellEnd"/>
      <w:r w:rsidRPr="00FC7690">
        <w:rPr>
          <w:rFonts w:ascii="Times New Roman" w:hAnsi="Times New Roman" w:cs="Times New Roman"/>
          <w:i/>
          <w:sz w:val="24"/>
        </w:rPr>
        <w:t xml:space="preserve"> &amp; Co. Attorneys</w:t>
      </w:r>
      <w:r>
        <w:rPr>
          <w:rFonts w:ascii="Times New Roman" w:hAnsi="Times New Roman" w:cs="Times New Roman"/>
          <w:sz w:val="24"/>
        </w:rPr>
        <w:t xml:space="preserve">, respondents’ legal practitioners </w:t>
      </w:r>
    </w:p>
    <w:p w:rsidR="00FD03C1" w:rsidRDefault="00FD03C1" w:rsidP="006076D8">
      <w:pPr>
        <w:pStyle w:val="NoSpacing"/>
        <w:spacing w:line="360" w:lineRule="auto"/>
        <w:jc w:val="both"/>
        <w:rPr>
          <w:rFonts w:ascii="Times New Roman" w:hAnsi="Times New Roman" w:cs="Times New Roman"/>
          <w:sz w:val="24"/>
        </w:rPr>
      </w:pPr>
    </w:p>
    <w:p w:rsidR="006076D8" w:rsidRDefault="006076D8" w:rsidP="006076D8">
      <w:pPr>
        <w:pStyle w:val="NoSpacing"/>
        <w:spacing w:line="360" w:lineRule="auto"/>
        <w:jc w:val="both"/>
        <w:rPr>
          <w:rFonts w:ascii="Times New Roman" w:hAnsi="Times New Roman" w:cs="Times New Roman"/>
          <w:sz w:val="24"/>
        </w:rPr>
      </w:pPr>
    </w:p>
    <w:p w:rsidR="006076D8" w:rsidRDefault="006076D8" w:rsidP="006076D8">
      <w:pPr>
        <w:pStyle w:val="NoSpacing"/>
        <w:spacing w:line="360" w:lineRule="auto"/>
        <w:jc w:val="both"/>
        <w:rPr>
          <w:rFonts w:ascii="Times New Roman" w:hAnsi="Times New Roman" w:cs="Times New Roman"/>
          <w:sz w:val="24"/>
        </w:rPr>
      </w:pPr>
    </w:p>
    <w:p w:rsidR="00E85886" w:rsidRDefault="00E85886" w:rsidP="00CA032D">
      <w:pPr>
        <w:pStyle w:val="NoSpacing"/>
        <w:spacing w:line="360" w:lineRule="auto"/>
        <w:ind w:left="360"/>
        <w:jc w:val="both"/>
        <w:rPr>
          <w:rFonts w:ascii="Times New Roman" w:hAnsi="Times New Roman" w:cs="Times New Roman"/>
          <w:sz w:val="24"/>
        </w:rPr>
      </w:pPr>
    </w:p>
    <w:p w:rsidR="00C54C99" w:rsidRDefault="00C54C99" w:rsidP="00704601">
      <w:pPr>
        <w:pStyle w:val="NoSpacing"/>
        <w:spacing w:line="360" w:lineRule="auto"/>
        <w:jc w:val="both"/>
        <w:rPr>
          <w:rFonts w:ascii="Times New Roman" w:hAnsi="Times New Roman" w:cs="Times New Roman"/>
          <w:sz w:val="24"/>
        </w:rPr>
      </w:pPr>
    </w:p>
    <w:p w:rsidR="00D0465E" w:rsidRPr="00BD54AB" w:rsidRDefault="00D0465E" w:rsidP="00704601">
      <w:pPr>
        <w:pStyle w:val="NoSpacing"/>
        <w:spacing w:line="360" w:lineRule="auto"/>
        <w:jc w:val="both"/>
        <w:rPr>
          <w:rFonts w:ascii="Times New Roman" w:hAnsi="Times New Roman" w:cs="Times New Roman"/>
          <w:sz w:val="24"/>
        </w:rPr>
      </w:pPr>
    </w:p>
    <w:p w:rsidR="00BD54AB" w:rsidRPr="00BD54AB" w:rsidRDefault="00BD54AB" w:rsidP="00BD54AB">
      <w:pPr>
        <w:pStyle w:val="NoSpacing"/>
        <w:spacing w:line="360" w:lineRule="auto"/>
        <w:jc w:val="both"/>
        <w:rPr>
          <w:rFonts w:ascii="Times New Roman" w:hAnsi="Times New Roman" w:cs="Times New Roman"/>
          <w:b/>
          <w:sz w:val="24"/>
        </w:rPr>
      </w:pPr>
    </w:p>
    <w:sectPr w:rsidR="00BD54AB" w:rsidRPr="00BD54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93" w:rsidRDefault="00840E93" w:rsidP="00E72018">
      <w:pPr>
        <w:spacing w:after="0" w:line="240" w:lineRule="auto"/>
      </w:pPr>
      <w:r>
        <w:separator/>
      </w:r>
    </w:p>
  </w:endnote>
  <w:endnote w:type="continuationSeparator" w:id="0">
    <w:p w:rsidR="00840E93" w:rsidRDefault="00840E93" w:rsidP="00E7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93" w:rsidRDefault="00840E93" w:rsidP="00E72018">
      <w:pPr>
        <w:spacing w:after="0" w:line="240" w:lineRule="auto"/>
      </w:pPr>
      <w:r>
        <w:separator/>
      </w:r>
    </w:p>
  </w:footnote>
  <w:footnote w:type="continuationSeparator" w:id="0">
    <w:p w:rsidR="00840E93" w:rsidRDefault="00840E93" w:rsidP="00E72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1775"/>
      <w:docPartObj>
        <w:docPartGallery w:val="Page Numbers (Top of Page)"/>
        <w:docPartUnique/>
      </w:docPartObj>
    </w:sdtPr>
    <w:sdtEndPr>
      <w:rPr>
        <w:noProof/>
      </w:rPr>
    </w:sdtEndPr>
    <w:sdtContent>
      <w:p w:rsidR="003D1E7C" w:rsidRDefault="003D1E7C">
        <w:pPr>
          <w:pStyle w:val="Header"/>
          <w:jc w:val="right"/>
          <w:rPr>
            <w:noProof/>
          </w:rPr>
        </w:pPr>
        <w:r>
          <w:fldChar w:fldCharType="begin"/>
        </w:r>
        <w:r>
          <w:instrText xml:space="preserve"> PAGE   \* MERGEFORMAT </w:instrText>
        </w:r>
        <w:r>
          <w:fldChar w:fldCharType="separate"/>
        </w:r>
        <w:r w:rsidR="00794502">
          <w:rPr>
            <w:noProof/>
          </w:rPr>
          <w:t>4</w:t>
        </w:r>
        <w:r>
          <w:rPr>
            <w:noProof/>
          </w:rPr>
          <w:fldChar w:fldCharType="end"/>
        </w:r>
      </w:p>
      <w:p w:rsidR="003D1E7C" w:rsidRDefault="003D1E7C">
        <w:pPr>
          <w:pStyle w:val="Header"/>
          <w:jc w:val="right"/>
          <w:rPr>
            <w:noProof/>
          </w:rPr>
        </w:pPr>
        <w:r>
          <w:rPr>
            <w:noProof/>
          </w:rPr>
          <w:t>HB 211-15</w:t>
        </w:r>
      </w:p>
      <w:p w:rsidR="003D1E7C" w:rsidRDefault="003D1E7C">
        <w:pPr>
          <w:pStyle w:val="Header"/>
          <w:jc w:val="right"/>
          <w:rPr>
            <w:noProof/>
          </w:rPr>
        </w:pPr>
        <w:r>
          <w:rPr>
            <w:noProof/>
          </w:rPr>
          <w:t>HC 1134-14</w:t>
        </w:r>
      </w:p>
      <w:p w:rsidR="003D1E7C" w:rsidRDefault="003D1E7C">
        <w:pPr>
          <w:pStyle w:val="Header"/>
          <w:jc w:val="right"/>
          <w:rPr>
            <w:noProof/>
          </w:rPr>
        </w:pPr>
        <w:r>
          <w:rPr>
            <w:noProof/>
          </w:rPr>
          <w:t>XREF HC 1337-14</w:t>
        </w:r>
      </w:p>
      <w:p w:rsidR="003D1E7C" w:rsidRDefault="00840E93">
        <w:pPr>
          <w:pStyle w:val="Header"/>
          <w:jc w:val="right"/>
        </w:pPr>
      </w:p>
    </w:sdtContent>
  </w:sdt>
  <w:p w:rsidR="003D1E7C" w:rsidRDefault="003D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7D19"/>
    <w:multiLevelType w:val="hybridMultilevel"/>
    <w:tmpl w:val="6EAE81D8"/>
    <w:lvl w:ilvl="0" w:tplc="E4820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D0E74"/>
    <w:multiLevelType w:val="hybridMultilevel"/>
    <w:tmpl w:val="362A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8"/>
    <w:rsid w:val="000B5CCF"/>
    <w:rsid w:val="000C78B4"/>
    <w:rsid w:val="00115AF6"/>
    <w:rsid w:val="00227225"/>
    <w:rsid w:val="002D7259"/>
    <w:rsid w:val="003D1E7C"/>
    <w:rsid w:val="004430A0"/>
    <w:rsid w:val="006076D8"/>
    <w:rsid w:val="00704601"/>
    <w:rsid w:val="00794502"/>
    <w:rsid w:val="007C18E7"/>
    <w:rsid w:val="00840E93"/>
    <w:rsid w:val="00885D8A"/>
    <w:rsid w:val="0093306C"/>
    <w:rsid w:val="009F4C80"/>
    <w:rsid w:val="00A72489"/>
    <w:rsid w:val="00AE3551"/>
    <w:rsid w:val="00B170E3"/>
    <w:rsid w:val="00BD54AB"/>
    <w:rsid w:val="00C54C99"/>
    <w:rsid w:val="00CA032D"/>
    <w:rsid w:val="00D0465E"/>
    <w:rsid w:val="00D83F4D"/>
    <w:rsid w:val="00E72018"/>
    <w:rsid w:val="00E85886"/>
    <w:rsid w:val="00EC05FC"/>
    <w:rsid w:val="00FC7690"/>
    <w:rsid w:val="00FD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18"/>
    <w:pPr>
      <w:spacing w:after="0" w:line="240" w:lineRule="auto"/>
    </w:pPr>
  </w:style>
  <w:style w:type="paragraph" w:styleId="Header">
    <w:name w:val="header"/>
    <w:basedOn w:val="Normal"/>
    <w:link w:val="HeaderChar"/>
    <w:uiPriority w:val="99"/>
    <w:unhideWhenUsed/>
    <w:rsid w:val="00E7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18"/>
  </w:style>
  <w:style w:type="paragraph" w:styleId="Footer">
    <w:name w:val="footer"/>
    <w:basedOn w:val="Normal"/>
    <w:link w:val="FooterChar"/>
    <w:uiPriority w:val="99"/>
    <w:unhideWhenUsed/>
    <w:rsid w:val="00E7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18"/>
  </w:style>
  <w:style w:type="paragraph" w:styleId="BalloonText">
    <w:name w:val="Balloon Text"/>
    <w:basedOn w:val="Normal"/>
    <w:link w:val="BalloonTextChar"/>
    <w:uiPriority w:val="99"/>
    <w:semiHidden/>
    <w:unhideWhenUsed/>
    <w:rsid w:val="00EC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18"/>
    <w:pPr>
      <w:spacing w:after="0" w:line="240" w:lineRule="auto"/>
    </w:pPr>
  </w:style>
  <w:style w:type="paragraph" w:styleId="Header">
    <w:name w:val="header"/>
    <w:basedOn w:val="Normal"/>
    <w:link w:val="HeaderChar"/>
    <w:uiPriority w:val="99"/>
    <w:unhideWhenUsed/>
    <w:rsid w:val="00E7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18"/>
  </w:style>
  <w:style w:type="paragraph" w:styleId="Footer">
    <w:name w:val="footer"/>
    <w:basedOn w:val="Normal"/>
    <w:link w:val="FooterChar"/>
    <w:uiPriority w:val="99"/>
    <w:unhideWhenUsed/>
    <w:rsid w:val="00E7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18"/>
  </w:style>
  <w:style w:type="paragraph" w:styleId="BalloonText">
    <w:name w:val="Balloon Text"/>
    <w:basedOn w:val="Normal"/>
    <w:link w:val="BalloonTextChar"/>
    <w:uiPriority w:val="99"/>
    <w:semiHidden/>
    <w:unhideWhenUsed/>
    <w:rsid w:val="00EC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13</cp:revision>
  <cp:lastPrinted>2015-10-21T14:45:00Z</cp:lastPrinted>
  <dcterms:created xsi:type="dcterms:W3CDTF">2015-10-21T08:25:00Z</dcterms:created>
  <dcterms:modified xsi:type="dcterms:W3CDTF">2015-10-21T14:46:00Z</dcterms:modified>
</cp:coreProperties>
</file>