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A3" w:rsidRDefault="002E13CC" w:rsidP="00383AC4">
      <w:pPr>
        <w:spacing w:line="240" w:lineRule="auto"/>
        <w:contextualSpacing/>
        <w:rPr>
          <w:rFonts w:ascii="Times New Roman" w:hAnsi="Times New Roman" w:cs="Times New Roman"/>
          <w:sz w:val="24"/>
        </w:rPr>
      </w:pPr>
      <w:r>
        <w:rPr>
          <w:rFonts w:ascii="Times New Roman" w:hAnsi="Times New Roman" w:cs="Times New Roman"/>
          <w:sz w:val="24"/>
        </w:rPr>
        <w:t xml:space="preserve"> </w:t>
      </w:r>
      <w:r w:rsidR="00383AC4" w:rsidRPr="00383AC4">
        <w:rPr>
          <w:rFonts w:ascii="Times New Roman" w:hAnsi="Times New Roman" w:cs="Times New Roman"/>
          <w:sz w:val="24"/>
        </w:rPr>
        <w:t>NONTOKOZO TACHIONA</w:t>
      </w:r>
    </w:p>
    <w:p w:rsidR="001415CC" w:rsidRPr="00383AC4" w:rsidRDefault="001415CC" w:rsidP="00383AC4">
      <w:pPr>
        <w:spacing w:line="240" w:lineRule="auto"/>
        <w:contextualSpacing/>
        <w:rPr>
          <w:rFonts w:ascii="Times New Roman" w:hAnsi="Times New Roman" w:cs="Times New Roman"/>
          <w:sz w:val="24"/>
        </w:rPr>
      </w:pPr>
    </w:p>
    <w:p w:rsidR="00383AC4" w:rsidRDefault="008A6C63" w:rsidP="00383AC4">
      <w:pPr>
        <w:spacing w:line="240" w:lineRule="auto"/>
        <w:contextualSpacing/>
        <w:rPr>
          <w:rFonts w:ascii="Times New Roman" w:hAnsi="Times New Roman" w:cs="Times New Roman"/>
          <w:b/>
          <w:sz w:val="24"/>
        </w:rPr>
      </w:pPr>
      <w:r w:rsidRPr="00383AC4">
        <w:rPr>
          <w:rFonts w:ascii="Times New Roman" w:hAnsi="Times New Roman" w:cs="Times New Roman"/>
          <w:b/>
          <w:sz w:val="24"/>
        </w:rPr>
        <w:t>V</w:t>
      </w:r>
      <w:r w:rsidR="00383AC4" w:rsidRPr="00383AC4">
        <w:rPr>
          <w:rFonts w:ascii="Times New Roman" w:hAnsi="Times New Roman" w:cs="Times New Roman"/>
          <w:b/>
          <w:sz w:val="24"/>
        </w:rPr>
        <w:t>ersus</w:t>
      </w:r>
    </w:p>
    <w:p w:rsidR="008A6C63" w:rsidRPr="00383AC4" w:rsidRDefault="008A6C63" w:rsidP="00383AC4">
      <w:pPr>
        <w:spacing w:line="240" w:lineRule="auto"/>
        <w:contextualSpacing/>
        <w:rPr>
          <w:rFonts w:ascii="Times New Roman" w:hAnsi="Times New Roman" w:cs="Times New Roman"/>
          <w:b/>
          <w:sz w:val="24"/>
        </w:rPr>
      </w:pPr>
    </w:p>
    <w:p w:rsidR="00383AC4" w:rsidRPr="00383AC4" w:rsidRDefault="00383AC4" w:rsidP="00383AC4">
      <w:pPr>
        <w:spacing w:line="240" w:lineRule="auto"/>
        <w:contextualSpacing/>
        <w:rPr>
          <w:rFonts w:ascii="Times New Roman" w:hAnsi="Times New Roman" w:cs="Times New Roman"/>
          <w:sz w:val="24"/>
        </w:rPr>
      </w:pPr>
      <w:r w:rsidRPr="00383AC4">
        <w:rPr>
          <w:rFonts w:ascii="Times New Roman" w:hAnsi="Times New Roman" w:cs="Times New Roman"/>
          <w:sz w:val="24"/>
        </w:rPr>
        <w:t>BRIGHTON NDEBELE</w:t>
      </w:r>
    </w:p>
    <w:p w:rsidR="00383AC4" w:rsidRDefault="00383AC4" w:rsidP="00383AC4">
      <w:pPr>
        <w:spacing w:line="240" w:lineRule="auto"/>
        <w:contextualSpacing/>
        <w:rPr>
          <w:rFonts w:ascii="Times New Roman" w:hAnsi="Times New Roman" w:cs="Times New Roman"/>
          <w:sz w:val="24"/>
        </w:rPr>
      </w:pPr>
      <w:r w:rsidRPr="00383AC4">
        <w:rPr>
          <w:rFonts w:ascii="Times New Roman" w:hAnsi="Times New Roman" w:cs="Times New Roman"/>
          <w:sz w:val="24"/>
        </w:rPr>
        <w:t xml:space="preserve">and </w:t>
      </w:r>
    </w:p>
    <w:p w:rsidR="008A6C63" w:rsidRPr="00383AC4" w:rsidRDefault="008A6C63" w:rsidP="00383AC4">
      <w:pPr>
        <w:spacing w:line="240" w:lineRule="auto"/>
        <w:contextualSpacing/>
        <w:rPr>
          <w:rFonts w:ascii="Times New Roman" w:hAnsi="Times New Roman" w:cs="Times New Roman"/>
          <w:sz w:val="24"/>
        </w:rPr>
      </w:pPr>
    </w:p>
    <w:p w:rsidR="00383AC4" w:rsidRPr="00383AC4" w:rsidRDefault="00383AC4" w:rsidP="00383AC4">
      <w:pPr>
        <w:spacing w:line="240" w:lineRule="auto"/>
        <w:contextualSpacing/>
        <w:rPr>
          <w:rFonts w:ascii="Times New Roman" w:hAnsi="Times New Roman" w:cs="Times New Roman"/>
          <w:sz w:val="24"/>
        </w:rPr>
      </w:pPr>
      <w:r w:rsidRPr="00383AC4">
        <w:rPr>
          <w:rFonts w:ascii="Times New Roman" w:hAnsi="Times New Roman" w:cs="Times New Roman"/>
          <w:sz w:val="24"/>
        </w:rPr>
        <w:t xml:space="preserve">ZIMBABWE UNION CONFERENCE OF THE </w:t>
      </w:r>
    </w:p>
    <w:p w:rsidR="00383AC4" w:rsidRPr="00383AC4" w:rsidRDefault="00383AC4" w:rsidP="00383AC4">
      <w:pPr>
        <w:spacing w:line="240" w:lineRule="auto"/>
        <w:contextualSpacing/>
        <w:rPr>
          <w:rFonts w:ascii="Times New Roman" w:hAnsi="Times New Roman" w:cs="Times New Roman"/>
          <w:sz w:val="24"/>
        </w:rPr>
      </w:pPr>
      <w:r w:rsidRPr="00383AC4">
        <w:rPr>
          <w:rFonts w:ascii="Times New Roman" w:hAnsi="Times New Roman" w:cs="Times New Roman"/>
          <w:sz w:val="24"/>
        </w:rPr>
        <w:t>SEVENTH DA</w:t>
      </w:r>
      <w:r w:rsidR="002E13CC">
        <w:rPr>
          <w:rFonts w:ascii="Times New Roman" w:hAnsi="Times New Roman" w:cs="Times New Roman"/>
          <w:sz w:val="24"/>
        </w:rPr>
        <w:t>Y</w:t>
      </w:r>
      <w:r w:rsidRPr="00383AC4">
        <w:rPr>
          <w:rFonts w:ascii="Times New Roman" w:hAnsi="Times New Roman" w:cs="Times New Roman"/>
          <w:sz w:val="24"/>
        </w:rPr>
        <w:t xml:space="preserve"> ADVENTIST CHURCH</w:t>
      </w:r>
    </w:p>
    <w:p w:rsidR="00383AC4" w:rsidRDefault="008A6C63" w:rsidP="00383AC4">
      <w:pPr>
        <w:spacing w:line="240" w:lineRule="auto"/>
        <w:contextualSpacing/>
        <w:rPr>
          <w:rFonts w:ascii="Times New Roman" w:hAnsi="Times New Roman" w:cs="Times New Roman"/>
          <w:sz w:val="24"/>
        </w:rPr>
      </w:pPr>
      <w:r>
        <w:rPr>
          <w:rFonts w:ascii="Times New Roman" w:hAnsi="Times New Roman" w:cs="Times New Roman"/>
          <w:sz w:val="24"/>
        </w:rPr>
        <w:t>a</w:t>
      </w:r>
      <w:r w:rsidR="00383AC4" w:rsidRPr="00383AC4">
        <w:rPr>
          <w:rFonts w:ascii="Times New Roman" w:hAnsi="Times New Roman" w:cs="Times New Roman"/>
          <w:sz w:val="24"/>
        </w:rPr>
        <w:t>nd</w:t>
      </w:r>
    </w:p>
    <w:p w:rsidR="008A6C63" w:rsidRDefault="008A6C63" w:rsidP="00383AC4">
      <w:pPr>
        <w:spacing w:line="240" w:lineRule="auto"/>
        <w:contextualSpacing/>
        <w:rPr>
          <w:rFonts w:ascii="Times New Roman" w:hAnsi="Times New Roman" w:cs="Times New Roman"/>
          <w:sz w:val="24"/>
        </w:rPr>
      </w:pPr>
    </w:p>
    <w:p w:rsidR="00383AC4" w:rsidRPr="00383AC4" w:rsidRDefault="00383AC4" w:rsidP="00383AC4">
      <w:pPr>
        <w:spacing w:line="240" w:lineRule="auto"/>
        <w:contextualSpacing/>
        <w:rPr>
          <w:rFonts w:ascii="Times New Roman" w:hAnsi="Times New Roman" w:cs="Times New Roman"/>
          <w:sz w:val="24"/>
        </w:rPr>
      </w:pPr>
      <w:r w:rsidRPr="00383AC4">
        <w:rPr>
          <w:rFonts w:ascii="Times New Roman" w:hAnsi="Times New Roman" w:cs="Times New Roman"/>
          <w:sz w:val="24"/>
        </w:rPr>
        <w:t>SOUTH ZIMBABWE CONFERENCE</w:t>
      </w:r>
    </w:p>
    <w:p w:rsidR="00383AC4" w:rsidRPr="00383AC4" w:rsidRDefault="00383AC4" w:rsidP="00383AC4">
      <w:pPr>
        <w:spacing w:line="240" w:lineRule="auto"/>
        <w:contextualSpacing/>
        <w:rPr>
          <w:rFonts w:ascii="Times New Roman" w:hAnsi="Times New Roman" w:cs="Times New Roman"/>
          <w:sz w:val="24"/>
        </w:rPr>
      </w:pPr>
      <w:r w:rsidRPr="00383AC4">
        <w:rPr>
          <w:rFonts w:ascii="Times New Roman" w:hAnsi="Times New Roman" w:cs="Times New Roman"/>
          <w:sz w:val="24"/>
        </w:rPr>
        <w:t>OF THE SEVENTH DAY ADVENTIST CHURCH</w:t>
      </w:r>
    </w:p>
    <w:p w:rsidR="008A6C63" w:rsidRDefault="008A6C63" w:rsidP="00383AC4">
      <w:pPr>
        <w:spacing w:line="240" w:lineRule="auto"/>
        <w:contextualSpacing/>
        <w:rPr>
          <w:rFonts w:ascii="Times New Roman" w:hAnsi="Times New Roman" w:cs="Times New Roman"/>
          <w:sz w:val="24"/>
        </w:rPr>
      </w:pPr>
      <w:r>
        <w:rPr>
          <w:rFonts w:ascii="Times New Roman" w:hAnsi="Times New Roman" w:cs="Times New Roman"/>
          <w:sz w:val="24"/>
        </w:rPr>
        <w:t>a</w:t>
      </w:r>
      <w:r w:rsidR="00965675" w:rsidRPr="00383AC4">
        <w:rPr>
          <w:rFonts w:ascii="Times New Roman" w:hAnsi="Times New Roman" w:cs="Times New Roman"/>
          <w:sz w:val="24"/>
        </w:rPr>
        <w:t>nd</w:t>
      </w:r>
    </w:p>
    <w:p w:rsidR="00383AC4" w:rsidRPr="00383AC4" w:rsidRDefault="00965675" w:rsidP="00383AC4">
      <w:pPr>
        <w:spacing w:line="240" w:lineRule="auto"/>
        <w:contextualSpacing/>
        <w:rPr>
          <w:rFonts w:ascii="Times New Roman" w:hAnsi="Times New Roman" w:cs="Times New Roman"/>
          <w:sz w:val="24"/>
        </w:rPr>
      </w:pPr>
      <w:r w:rsidRPr="00383AC4">
        <w:rPr>
          <w:rFonts w:ascii="Times New Roman" w:hAnsi="Times New Roman" w:cs="Times New Roman"/>
          <w:sz w:val="24"/>
        </w:rPr>
        <w:t xml:space="preserve"> </w:t>
      </w:r>
      <w:bookmarkStart w:id="0" w:name="_GoBack"/>
      <w:bookmarkEnd w:id="0"/>
    </w:p>
    <w:p w:rsidR="00383AC4" w:rsidRPr="00383AC4" w:rsidRDefault="00383AC4" w:rsidP="00383AC4">
      <w:pPr>
        <w:spacing w:line="240" w:lineRule="auto"/>
        <w:contextualSpacing/>
        <w:rPr>
          <w:rFonts w:ascii="Times New Roman" w:hAnsi="Times New Roman" w:cs="Times New Roman"/>
          <w:sz w:val="24"/>
        </w:rPr>
      </w:pPr>
      <w:r w:rsidRPr="00383AC4">
        <w:rPr>
          <w:rFonts w:ascii="Times New Roman" w:hAnsi="Times New Roman" w:cs="Times New Roman"/>
          <w:sz w:val="24"/>
        </w:rPr>
        <w:t xml:space="preserve">BULAWAYO SEVENTH DAY ADVENTIST </w:t>
      </w:r>
    </w:p>
    <w:p w:rsidR="00383AC4" w:rsidRPr="00383AC4" w:rsidRDefault="00383AC4" w:rsidP="00383AC4">
      <w:pPr>
        <w:spacing w:line="240" w:lineRule="auto"/>
        <w:contextualSpacing/>
        <w:rPr>
          <w:rFonts w:ascii="Times New Roman" w:hAnsi="Times New Roman" w:cs="Times New Roman"/>
          <w:sz w:val="24"/>
        </w:rPr>
      </w:pPr>
      <w:r w:rsidRPr="00383AC4">
        <w:rPr>
          <w:rFonts w:ascii="Times New Roman" w:hAnsi="Times New Roman" w:cs="Times New Roman"/>
          <w:sz w:val="24"/>
        </w:rPr>
        <w:t>CITY CENTRE CHURCH</w:t>
      </w:r>
    </w:p>
    <w:p w:rsidR="00383AC4" w:rsidRPr="00383AC4" w:rsidRDefault="00383AC4" w:rsidP="00383AC4">
      <w:pPr>
        <w:spacing w:line="240" w:lineRule="auto"/>
        <w:contextualSpacing/>
        <w:rPr>
          <w:rFonts w:ascii="Times New Roman" w:hAnsi="Times New Roman" w:cs="Times New Roman"/>
          <w:sz w:val="24"/>
        </w:rPr>
      </w:pPr>
    </w:p>
    <w:p w:rsidR="00383AC4" w:rsidRDefault="00383AC4">
      <w:pPr>
        <w:rPr>
          <w:rFonts w:ascii="Times New Roman" w:hAnsi="Times New Roman" w:cs="Times New Roman"/>
          <w:sz w:val="24"/>
        </w:rPr>
      </w:pPr>
    </w:p>
    <w:p w:rsidR="00383AC4" w:rsidRDefault="00383AC4" w:rsidP="00383AC4">
      <w:pPr>
        <w:spacing w:line="240" w:lineRule="auto"/>
        <w:contextualSpacing/>
        <w:rPr>
          <w:rFonts w:ascii="Times New Roman" w:hAnsi="Times New Roman" w:cs="Times New Roman"/>
          <w:sz w:val="24"/>
        </w:rPr>
      </w:pPr>
    </w:p>
    <w:p w:rsidR="00383AC4" w:rsidRDefault="00383AC4" w:rsidP="00383AC4">
      <w:pPr>
        <w:spacing w:line="240" w:lineRule="auto"/>
        <w:contextualSpacing/>
        <w:rPr>
          <w:rFonts w:ascii="Times New Roman" w:hAnsi="Times New Roman" w:cs="Times New Roman"/>
          <w:sz w:val="24"/>
        </w:rPr>
      </w:pPr>
      <w:r>
        <w:rPr>
          <w:rFonts w:ascii="Times New Roman" w:hAnsi="Times New Roman" w:cs="Times New Roman"/>
          <w:sz w:val="24"/>
        </w:rPr>
        <w:t>HIGH COURT OF ZIMBABWE</w:t>
      </w:r>
    </w:p>
    <w:p w:rsidR="00383AC4" w:rsidRDefault="00383AC4" w:rsidP="00383AC4">
      <w:pPr>
        <w:spacing w:line="240" w:lineRule="auto"/>
        <w:contextualSpacing/>
        <w:rPr>
          <w:rFonts w:ascii="Times New Roman" w:hAnsi="Times New Roman" w:cs="Times New Roman"/>
          <w:sz w:val="24"/>
        </w:rPr>
      </w:pPr>
      <w:r>
        <w:rPr>
          <w:rFonts w:ascii="Times New Roman" w:hAnsi="Times New Roman" w:cs="Times New Roman"/>
          <w:sz w:val="24"/>
        </w:rPr>
        <w:t>MAKONESE J</w:t>
      </w:r>
    </w:p>
    <w:p w:rsidR="00383AC4" w:rsidRDefault="00383AC4" w:rsidP="00383AC4">
      <w:pPr>
        <w:spacing w:line="240" w:lineRule="auto"/>
        <w:contextualSpacing/>
        <w:jc w:val="both"/>
        <w:rPr>
          <w:rFonts w:ascii="Times New Roman" w:hAnsi="Times New Roman" w:cs="Times New Roman"/>
          <w:sz w:val="24"/>
        </w:rPr>
      </w:pPr>
      <w:r>
        <w:rPr>
          <w:rFonts w:ascii="Times New Roman" w:hAnsi="Times New Roman" w:cs="Times New Roman"/>
          <w:sz w:val="24"/>
        </w:rPr>
        <w:t>BULAWAYO 29 JUNE 2018 AND 25 OCTOBER 2018</w:t>
      </w:r>
    </w:p>
    <w:p w:rsidR="00383AC4" w:rsidRDefault="00383AC4" w:rsidP="00383AC4">
      <w:pPr>
        <w:spacing w:line="240" w:lineRule="auto"/>
        <w:contextualSpacing/>
        <w:jc w:val="both"/>
        <w:rPr>
          <w:rFonts w:ascii="Times New Roman" w:hAnsi="Times New Roman" w:cs="Times New Roman"/>
          <w:sz w:val="24"/>
        </w:rPr>
      </w:pPr>
    </w:p>
    <w:p w:rsidR="00383AC4" w:rsidRDefault="00383AC4" w:rsidP="00383AC4">
      <w:pPr>
        <w:spacing w:line="240" w:lineRule="auto"/>
        <w:contextualSpacing/>
        <w:jc w:val="both"/>
        <w:rPr>
          <w:rFonts w:ascii="Times New Roman" w:hAnsi="Times New Roman" w:cs="Times New Roman"/>
          <w:sz w:val="24"/>
        </w:rPr>
      </w:pPr>
    </w:p>
    <w:p w:rsidR="00383AC4" w:rsidRPr="00383AC4" w:rsidRDefault="00383AC4" w:rsidP="00383AC4">
      <w:pPr>
        <w:spacing w:line="240" w:lineRule="auto"/>
        <w:contextualSpacing/>
        <w:jc w:val="both"/>
        <w:rPr>
          <w:rFonts w:ascii="Times New Roman" w:hAnsi="Times New Roman" w:cs="Times New Roman"/>
          <w:b/>
          <w:sz w:val="24"/>
        </w:rPr>
      </w:pPr>
      <w:r w:rsidRPr="00383AC4">
        <w:rPr>
          <w:rFonts w:ascii="Times New Roman" w:hAnsi="Times New Roman" w:cs="Times New Roman"/>
          <w:b/>
          <w:sz w:val="24"/>
        </w:rPr>
        <w:t>Opposed Application</w:t>
      </w:r>
    </w:p>
    <w:p w:rsidR="00383AC4" w:rsidRDefault="00383AC4" w:rsidP="00383AC4">
      <w:pPr>
        <w:spacing w:line="240" w:lineRule="auto"/>
        <w:contextualSpacing/>
        <w:jc w:val="both"/>
        <w:rPr>
          <w:rFonts w:ascii="Times New Roman" w:hAnsi="Times New Roman" w:cs="Times New Roman"/>
          <w:sz w:val="24"/>
        </w:rPr>
      </w:pPr>
    </w:p>
    <w:p w:rsidR="00383AC4" w:rsidRDefault="00383AC4" w:rsidP="00383AC4">
      <w:pPr>
        <w:spacing w:line="240" w:lineRule="auto"/>
        <w:contextualSpacing/>
        <w:jc w:val="both"/>
        <w:rPr>
          <w:rFonts w:ascii="Times New Roman" w:hAnsi="Times New Roman" w:cs="Times New Roman"/>
          <w:sz w:val="24"/>
        </w:rPr>
      </w:pPr>
    </w:p>
    <w:p w:rsidR="00383AC4" w:rsidRDefault="00383AC4" w:rsidP="00383AC4">
      <w:pPr>
        <w:spacing w:line="240" w:lineRule="auto"/>
        <w:contextualSpacing/>
        <w:jc w:val="both"/>
        <w:rPr>
          <w:rFonts w:ascii="Times New Roman" w:hAnsi="Times New Roman" w:cs="Times New Roman"/>
          <w:sz w:val="24"/>
        </w:rPr>
      </w:pPr>
      <w:proofErr w:type="spellStart"/>
      <w:r w:rsidRPr="00383AC4">
        <w:rPr>
          <w:rFonts w:ascii="Times New Roman" w:hAnsi="Times New Roman" w:cs="Times New Roman"/>
          <w:i/>
          <w:sz w:val="24"/>
        </w:rPr>
        <w:t>Mazibuko</w:t>
      </w:r>
      <w:proofErr w:type="spellEnd"/>
      <w:r>
        <w:rPr>
          <w:rFonts w:ascii="Times New Roman" w:hAnsi="Times New Roman" w:cs="Times New Roman"/>
          <w:sz w:val="24"/>
        </w:rPr>
        <w:t xml:space="preserve"> for the plaintiff</w:t>
      </w:r>
    </w:p>
    <w:p w:rsidR="00383AC4" w:rsidRDefault="00383AC4" w:rsidP="00383AC4">
      <w:pPr>
        <w:spacing w:line="240" w:lineRule="auto"/>
        <w:contextualSpacing/>
        <w:jc w:val="both"/>
        <w:rPr>
          <w:rFonts w:ascii="Times New Roman" w:hAnsi="Times New Roman" w:cs="Times New Roman"/>
          <w:sz w:val="24"/>
        </w:rPr>
      </w:pPr>
      <w:r w:rsidRPr="00383AC4">
        <w:rPr>
          <w:rFonts w:ascii="Times New Roman" w:hAnsi="Times New Roman" w:cs="Times New Roman"/>
          <w:i/>
          <w:sz w:val="24"/>
        </w:rPr>
        <w:t>Advocate T Mpofu</w:t>
      </w:r>
      <w:r>
        <w:rPr>
          <w:rFonts w:ascii="Times New Roman" w:hAnsi="Times New Roman" w:cs="Times New Roman"/>
          <w:sz w:val="24"/>
        </w:rPr>
        <w:t xml:space="preserve"> for the 2</w:t>
      </w:r>
      <w:r w:rsidRPr="00383AC4">
        <w:rPr>
          <w:rFonts w:ascii="Times New Roman" w:hAnsi="Times New Roman" w:cs="Times New Roman"/>
          <w:sz w:val="24"/>
          <w:vertAlign w:val="superscript"/>
        </w:rPr>
        <w:t>nd</w:t>
      </w:r>
      <w:r>
        <w:rPr>
          <w:rFonts w:ascii="Times New Roman" w:hAnsi="Times New Roman" w:cs="Times New Roman"/>
          <w:sz w:val="24"/>
        </w:rPr>
        <w:t>, 3</w:t>
      </w:r>
      <w:r w:rsidRPr="00383AC4">
        <w:rPr>
          <w:rFonts w:ascii="Times New Roman" w:hAnsi="Times New Roman" w:cs="Times New Roman"/>
          <w:sz w:val="24"/>
          <w:vertAlign w:val="superscript"/>
        </w:rPr>
        <w:t>rd</w:t>
      </w:r>
      <w:r>
        <w:rPr>
          <w:rFonts w:ascii="Times New Roman" w:hAnsi="Times New Roman" w:cs="Times New Roman"/>
          <w:sz w:val="24"/>
        </w:rPr>
        <w:t xml:space="preserve"> &amp; 4</w:t>
      </w:r>
      <w:r w:rsidRPr="00383AC4">
        <w:rPr>
          <w:rFonts w:ascii="Times New Roman" w:hAnsi="Times New Roman" w:cs="Times New Roman"/>
          <w:sz w:val="24"/>
          <w:vertAlign w:val="superscript"/>
        </w:rPr>
        <w:t>th</w:t>
      </w:r>
      <w:r>
        <w:rPr>
          <w:rFonts w:ascii="Times New Roman" w:hAnsi="Times New Roman" w:cs="Times New Roman"/>
          <w:sz w:val="24"/>
        </w:rPr>
        <w:t xml:space="preserve"> defendants</w:t>
      </w:r>
    </w:p>
    <w:p w:rsidR="002E2E6F" w:rsidRDefault="002E2E6F" w:rsidP="00383AC4">
      <w:pPr>
        <w:spacing w:line="240" w:lineRule="auto"/>
        <w:contextualSpacing/>
        <w:jc w:val="both"/>
        <w:rPr>
          <w:rFonts w:ascii="Times New Roman" w:hAnsi="Times New Roman" w:cs="Times New Roman"/>
          <w:sz w:val="24"/>
        </w:rPr>
      </w:pPr>
    </w:p>
    <w:p w:rsidR="002E2E6F" w:rsidRDefault="002E2E6F" w:rsidP="00383AC4">
      <w:pPr>
        <w:spacing w:line="240" w:lineRule="auto"/>
        <w:contextualSpacing/>
        <w:jc w:val="both"/>
        <w:rPr>
          <w:rFonts w:ascii="Times New Roman" w:hAnsi="Times New Roman" w:cs="Times New Roman"/>
          <w:sz w:val="24"/>
        </w:rPr>
      </w:pPr>
    </w:p>
    <w:p w:rsidR="002E2E6F" w:rsidRDefault="002E2E6F" w:rsidP="002E2E6F">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2E2E6F">
        <w:rPr>
          <w:rFonts w:ascii="Times New Roman" w:hAnsi="Times New Roman" w:cs="Times New Roman"/>
          <w:b/>
          <w:sz w:val="24"/>
        </w:rPr>
        <w:t>MAKONESE J:</w:t>
      </w:r>
      <w:r>
        <w:rPr>
          <w:rFonts w:ascii="Times New Roman" w:hAnsi="Times New Roman" w:cs="Times New Roman"/>
          <w:b/>
          <w:sz w:val="24"/>
        </w:rPr>
        <w:tab/>
      </w:r>
      <w:r>
        <w:rPr>
          <w:rFonts w:ascii="Times New Roman" w:hAnsi="Times New Roman" w:cs="Times New Roman"/>
          <w:sz w:val="24"/>
        </w:rPr>
        <w:t xml:space="preserve">This judgment relates to two matters that have been consolidated.  They relate to the same subject matter.  Under case number HC 997/17 the plaintiff issued summons against the defendants for damages allegedly suffered by the plaintiff at the hands of the defendants.  Plaintiff alleges that sometime in April 2016 first defendant </w:t>
      </w:r>
      <w:r w:rsidR="006C6430">
        <w:rPr>
          <w:rFonts w:ascii="Times New Roman" w:hAnsi="Times New Roman" w:cs="Times New Roman"/>
          <w:sz w:val="24"/>
        </w:rPr>
        <w:t>sexually assaulted her</w:t>
      </w:r>
      <w:r>
        <w:rPr>
          <w:rFonts w:ascii="Times New Roman" w:hAnsi="Times New Roman" w:cs="Times New Roman"/>
          <w:sz w:val="24"/>
        </w:rPr>
        <w:t>.  The plaintiff was deeply offended by first defendant’s conduct and claims she suffered</w:t>
      </w:r>
      <w:r w:rsidR="005F715F">
        <w:rPr>
          <w:rFonts w:ascii="Times New Roman" w:hAnsi="Times New Roman" w:cs="Times New Roman"/>
          <w:sz w:val="24"/>
        </w:rPr>
        <w:t xml:space="preserve"> psychological stress, trauma, m</w:t>
      </w:r>
      <w:r>
        <w:rPr>
          <w:rFonts w:ascii="Times New Roman" w:hAnsi="Times New Roman" w:cs="Times New Roman"/>
          <w:sz w:val="24"/>
        </w:rPr>
        <w:t>ental anguish and injury to her dignity.  The plaintiff further avers that second to fourth defendants took no steps to investigate her report and</w:t>
      </w:r>
      <w:r w:rsidR="00965675">
        <w:rPr>
          <w:rFonts w:ascii="Times New Roman" w:hAnsi="Times New Roman" w:cs="Times New Roman"/>
          <w:sz w:val="24"/>
        </w:rPr>
        <w:t xml:space="preserve"> </w:t>
      </w:r>
      <w:r>
        <w:rPr>
          <w:rFonts w:ascii="Times New Roman" w:hAnsi="Times New Roman" w:cs="Times New Roman"/>
          <w:sz w:val="24"/>
        </w:rPr>
        <w:t xml:space="preserve">failed to assist her </w:t>
      </w:r>
      <w:r>
        <w:rPr>
          <w:rFonts w:ascii="Times New Roman" w:hAnsi="Times New Roman" w:cs="Times New Roman"/>
          <w:sz w:val="24"/>
        </w:rPr>
        <w:lastRenderedPageBreak/>
        <w:t>emotionally and spiritually.  The second to fourth defendants filed an exception, application to strike out and a special plea in response to the claims.  Under case number HC 554/18 an application for condonation for late filing of heads of argument was also filed by second to fourth defendants.  The application for condonation is opposed.</w:t>
      </w:r>
    </w:p>
    <w:p w:rsidR="002E2E6F" w:rsidRDefault="002E2E6F" w:rsidP="002E2E6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matter has generated immense attention in the local media.  Several court proceedings arising from this case have been handled in the magistrates’ </w:t>
      </w:r>
      <w:proofErr w:type="gramStart"/>
      <w:r>
        <w:rPr>
          <w:rFonts w:ascii="Times New Roman" w:hAnsi="Times New Roman" w:cs="Times New Roman"/>
          <w:sz w:val="24"/>
        </w:rPr>
        <w:t>court,</w:t>
      </w:r>
      <w:r w:rsidR="00F96C6F">
        <w:rPr>
          <w:rFonts w:ascii="Times New Roman" w:hAnsi="Times New Roman" w:cs="Times New Roman"/>
          <w:sz w:val="24"/>
        </w:rPr>
        <w:t xml:space="preserve"> </w:t>
      </w:r>
      <w:r>
        <w:rPr>
          <w:rFonts w:ascii="Times New Roman" w:hAnsi="Times New Roman" w:cs="Times New Roman"/>
          <w:sz w:val="24"/>
        </w:rPr>
        <w:t xml:space="preserve"> and</w:t>
      </w:r>
      <w:proofErr w:type="gramEnd"/>
      <w:r>
        <w:rPr>
          <w:rFonts w:ascii="Times New Roman" w:hAnsi="Times New Roman" w:cs="Times New Roman"/>
          <w:sz w:val="24"/>
        </w:rPr>
        <w:t xml:space="preserve"> in this court as well.  This will be the third judgment of this court related to this matter.  The other judgments of this court are HB 63/17 and HB 187/17.  I shall restrict myself to the issues before me for determination in this matter.</w:t>
      </w:r>
    </w:p>
    <w:p w:rsidR="00217635" w:rsidRDefault="00217635" w:rsidP="002E2E6F">
      <w:pPr>
        <w:spacing w:line="360" w:lineRule="auto"/>
        <w:contextualSpacing/>
        <w:jc w:val="both"/>
        <w:rPr>
          <w:rFonts w:ascii="Times New Roman" w:hAnsi="Times New Roman" w:cs="Times New Roman"/>
          <w:sz w:val="24"/>
        </w:rPr>
      </w:pPr>
    </w:p>
    <w:p w:rsidR="00217635" w:rsidRPr="00B655CB" w:rsidRDefault="00217635" w:rsidP="002E2E6F">
      <w:pPr>
        <w:spacing w:line="360" w:lineRule="auto"/>
        <w:contextualSpacing/>
        <w:jc w:val="both"/>
        <w:rPr>
          <w:rFonts w:ascii="Times New Roman" w:hAnsi="Times New Roman" w:cs="Times New Roman"/>
          <w:b/>
          <w:sz w:val="24"/>
          <w:u w:val="single"/>
        </w:rPr>
      </w:pPr>
      <w:r w:rsidRPr="00B655CB">
        <w:rPr>
          <w:rFonts w:ascii="Times New Roman" w:hAnsi="Times New Roman" w:cs="Times New Roman"/>
          <w:b/>
          <w:sz w:val="24"/>
          <w:u w:val="single"/>
        </w:rPr>
        <w:t>Condonation</w:t>
      </w:r>
    </w:p>
    <w:p w:rsidR="002E2E6F" w:rsidRDefault="00A27408" w:rsidP="002E2E6F">
      <w:pPr>
        <w:spacing w:line="360" w:lineRule="auto"/>
        <w:contextualSpacing/>
        <w:jc w:val="both"/>
        <w:rPr>
          <w:rFonts w:ascii="Times New Roman" w:hAnsi="Times New Roman" w:cs="Times New Roman"/>
          <w:sz w:val="24"/>
        </w:rPr>
      </w:pPr>
      <w:r>
        <w:rPr>
          <w:rFonts w:ascii="Times New Roman" w:hAnsi="Times New Roman" w:cs="Times New Roman"/>
          <w:sz w:val="24"/>
        </w:rPr>
        <w:t>The applicant</w:t>
      </w:r>
      <w:r w:rsidR="00217635">
        <w:rPr>
          <w:rFonts w:ascii="Times New Roman" w:hAnsi="Times New Roman" w:cs="Times New Roman"/>
          <w:sz w:val="24"/>
        </w:rPr>
        <w:t>s</w:t>
      </w:r>
      <w:r>
        <w:rPr>
          <w:rFonts w:ascii="Times New Roman" w:hAnsi="Times New Roman" w:cs="Times New Roman"/>
          <w:sz w:val="24"/>
        </w:rPr>
        <w:t xml:space="preserve"> in case number HC 554/18 contend that the application for condonation should never have been opposed.  The fa</w:t>
      </w:r>
      <w:r w:rsidR="00B655CB">
        <w:rPr>
          <w:rFonts w:ascii="Times New Roman" w:hAnsi="Times New Roman" w:cs="Times New Roman"/>
          <w:sz w:val="24"/>
        </w:rPr>
        <w:t>cts of the matter are fairly</w:t>
      </w:r>
      <w:r>
        <w:rPr>
          <w:rFonts w:ascii="Times New Roman" w:hAnsi="Times New Roman" w:cs="Times New Roman"/>
          <w:sz w:val="24"/>
        </w:rPr>
        <w:t xml:space="preserve"> simple.  The respondent (plaintiff in the main action) brought a civil action against the applicants (3</w:t>
      </w:r>
      <w:r w:rsidRPr="00A27408">
        <w:rPr>
          <w:rFonts w:ascii="Times New Roman" w:hAnsi="Times New Roman" w:cs="Times New Roman"/>
          <w:sz w:val="24"/>
          <w:vertAlign w:val="superscript"/>
        </w:rPr>
        <w:t>rd</w:t>
      </w:r>
      <w:r>
        <w:rPr>
          <w:rFonts w:ascii="Times New Roman" w:hAnsi="Times New Roman" w:cs="Times New Roman"/>
          <w:sz w:val="24"/>
        </w:rPr>
        <w:t xml:space="preserve"> to 4</w:t>
      </w:r>
      <w:r w:rsidRPr="00A27408">
        <w:rPr>
          <w:rFonts w:ascii="Times New Roman" w:hAnsi="Times New Roman" w:cs="Times New Roman"/>
          <w:sz w:val="24"/>
          <w:vertAlign w:val="superscript"/>
        </w:rPr>
        <w:t>th</w:t>
      </w:r>
      <w:r>
        <w:rPr>
          <w:rFonts w:ascii="Times New Roman" w:hAnsi="Times New Roman" w:cs="Times New Roman"/>
          <w:sz w:val="24"/>
        </w:rPr>
        <w:t xml:space="preserve"> defendants in the main action) claiming certain </w:t>
      </w:r>
      <w:proofErr w:type="spellStart"/>
      <w:r>
        <w:rPr>
          <w:rFonts w:ascii="Times New Roman" w:hAnsi="Times New Roman" w:cs="Times New Roman"/>
          <w:sz w:val="24"/>
        </w:rPr>
        <w:t>delictual</w:t>
      </w:r>
      <w:proofErr w:type="spellEnd"/>
      <w:r>
        <w:rPr>
          <w:rFonts w:ascii="Times New Roman" w:hAnsi="Times New Roman" w:cs="Times New Roman"/>
          <w:sz w:val="24"/>
        </w:rPr>
        <w:t xml:space="preserve"> damages.  The defendants took issue with the pleadings which the</w:t>
      </w:r>
      <w:r w:rsidR="00B93F96">
        <w:rPr>
          <w:rFonts w:ascii="Times New Roman" w:hAnsi="Times New Roman" w:cs="Times New Roman"/>
          <w:sz w:val="24"/>
        </w:rPr>
        <w:t>y</w:t>
      </w:r>
      <w:r>
        <w:rPr>
          <w:rFonts w:ascii="Times New Roman" w:hAnsi="Times New Roman" w:cs="Times New Roman"/>
          <w:sz w:val="24"/>
        </w:rPr>
        <w:t xml:space="preserve"> claim were badly pleaded.  The </w:t>
      </w:r>
      <w:proofErr w:type="gramStart"/>
      <w:r>
        <w:rPr>
          <w:rFonts w:ascii="Times New Roman" w:hAnsi="Times New Roman" w:cs="Times New Roman"/>
          <w:sz w:val="24"/>
        </w:rPr>
        <w:t>defendants</w:t>
      </w:r>
      <w:r w:rsidR="00285BF8">
        <w:rPr>
          <w:rFonts w:ascii="Times New Roman" w:hAnsi="Times New Roman" w:cs="Times New Roman"/>
          <w:sz w:val="24"/>
        </w:rPr>
        <w:t xml:space="preserve"> </w:t>
      </w:r>
      <w:r w:rsidR="0055058D">
        <w:rPr>
          <w:rFonts w:ascii="Times New Roman" w:hAnsi="Times New Roman" w:cs="Times New Roman"/>
          <w:sz w:val="24"/>
        </w:rPr>
        <w:t xml:space="preserve"> </w:t>
      </w:r>
      <w:r>
        <w:rPr>
          <w:rFonts w:ascii="Times New Roman" w:hAnsi="Times New Roman" w:cs="Times New Roman"/>
          <w:sz w:val="24"/>
        </w:rPr>
        <w:t>excepted</w:t>
      </w:r>
      <w:proofErr w:type="gramEnd"/>
      <w:r>
        <w:rPr>
          <w:rFonts w:ascii="Times New Roman" w:hAnsi="Times New Roman" w:cs="Times New Roman"/>
          <w:sz w:val="24"/>
        </w:rPr>
        <w:t xml:space="preserve"> to the </w:t>
      </w:r>
      <w:r w:rsidR="00965675">
        <w:rPr>
          <w:rFonts w:ascii="Times New Roman" w:hAnsi="Times New Roman" w:cs="Times New Roman"/>
          <w:sz w:val="24"/>
        </w:rPr>
        <w:t xml:space="preserve">action </w:t>
      </w:r>
      <w:r>
        <w:rPr>
          <w:rFonts w:ascii="Times New Roman" w:hAnsi="Times New Roman" w:cs="Times New Roman"/>
          <w:sz w:val="24"/>
        </w:rPr>
        <w:t>and filed a special plea and application to strike out</w:t>
      </w:r>
      <w:r w:rsidR="004C2F2A">
        <w:rPr>
          <w:rFonts w:ascii="Times New Roman" w:hAnsi="Times New Roman" w:cs="Times New Roman"/>
          <w:sz w:val="24"/>
        </w:rPr>
        <w:t xml:space="preserve"> parts of</w:t>
      </w:r>
      <w:r>
        <w:rPr>
          <w:rFonts w:ascii="Times New Roman" w:hAnsi="Times New Roman" w:cs="Times New Roman"/>
          <w:sz w:val="24"/>
        </w:rPr>
        <w:t xml:space="preserve"> the declaration.  Having filed the objections, defendants sought the plaintiff’s co-operation in setting them down as is </w:t>
      </w:r>
      <w:r w:rsidR="00217635">
        <w:rPr>
          <w:rFonts w:ascii="Times New Roman" w:hAnsi="Times New Roman" w:cs="Times New Roman"/>
          <w:sz w:val="24"/>
        </w:rPr>
        <w:t xml:space="preserve">required by the rules.  The plaintiff replied, drawing attention to the fact that the request was precipitous as there was a chance that she was not opposed to the objections.  The plaintiff proceeded to oppose the application </w:t>
      </w:r>
      <w:r w:rsidR="006036DB">
        <w:rPr>
          <w:rFonts w:ascii="Times New Roman" w:hAnsi="Times New Roman" w:cs="Times New Roman"/>
          <w:sz w:val="24"/>
        </w:rPr>
        <w:t>to strike out and special plea and forgot about the exception.  This meant that the exception was unopposed and heads of argument in its sustenance were</w:t>
      </w:r>
      <w:r w:rsidR="00C26D12">
        <w:rPr>
          <w:rFonts w:ascii="Times New Roman" w:hAnsi="Times New Roman" w:cs="Times New Roman"/>
          <w:sz w:val="24"/>
        </w:rPr>
        <w:t xml:space="preserve"> deemed unnecessary. </w:t>
      </w:r>
      <w:r w:rsidR="006036DB">
        <w:rPr>
          <w:rFonts w:ascii="Times New Roman" w:hAnsi="Times New Roman" w:cs="Times New Roman"/>
          <w:sz w:val="24"/>
        </w:rPr>
        <w:t xml:space="preserve"> </w:t>
      </w:r>
      <w:r w:rsidR="00C26D12">
        <w:rPr>
          <w:rFonts w:ascii="Times New Roman" w:hAnsi="Times New Roman" w:cs="Times New Roman"/>
          <w:sz w:val="24"/>
        </w:rPr>
        <w:t xml:space="preserve"> </w:t>
      </w:r>
      <w:r w:rsidR="006036DB">
        <w:rPr>
          <w:rFonts w:ascii="Times New Roman" w:hAnsi="Times New Roman" w:cs="Times New Roman"/>
          <w:sz w:val="24"/>
        </w:rPr>
        <w:t xml:space="preserve"> When the </w:t>
      </w:r>
      <w:r w:rsidR="00992463">
        <w:rPr>
          <w:rFonts w:ascii="Times New Roman" w:hAnsi="Times New Roman" w:cs="Times New Roman"/>
          <w:sz w:val="24"/>
        </w:rPr>
        <w:t>plaintiff</w:t>
      </w:r>
      <w:r w:rsidR="006036DB">
        <w:rPr>
          <w:rFonts w:ascii="Times New Roman" w:hAnsi="Times New Roman" w:cs="Times New Roman"/>
          <w:sz w:val="24"/>
        </w:rPr>
        <w:t xml:space="preserve"> woke up to the need to file an opposition, defendants had at any rate filed heads of argument addressing the exception, application to strike out a</w:t>
      </w:r>
      <w:r w:rsidR="00967A58">
        <w:rPr>
          <w:rFonts w:ascii="Times New Roman" w:hAnsi="Times New Roman" w:cs="Times New Roman"/>
          <w:sz w:val="24"/>
        </w:rPr>
        <w:t>n</w:t>
      </w:r>
      <w:r w:rsidR="006036DB">
        <w:rPr>
          <w:rFonts w:ascii="Times New Roman" w:hAnsi="Times New Roman" w:cs="Times New Roman"/>
          <w:sz w:val="24"/>
        </w:rPr>
        <w:t>d special plea.  She sought and was granted an indulgence.  Resultantly, she filed opposition.  Realising that the heads of argument in respect of the</w:t>
      </w:r>
      <w:r w:rsidR="003A55E8">
        <w:rPr>
          <w:rFonts w:ascii="Times New Roman" w:hAnsi="Times New Roman" w:cs="Times New Roman"/>
          <w:sz w:val="24"/>
        </w:rPr>
        <w:t xml:space="preserve"> exception were</w:t>
      </w:r>
      <w:r w:rsidR="006036DB">
        <w:rPr>
          <w:rFonts w:ascii="Times New Roman" w:hAnsi="Times New Roman" w:cs="Times New Roman"/>
          <w:sz w:val="24"/>
        </w:rPr>
        <w:t xml:space="preserve"> out of time, and taking into account that the application was conceded, the </w:t>
      </w:r>
      <w:r w:rsidR="00720C81">
        <w:rPr>
          <w:rFonts w:ascii="Times New Roman" w:hAnsi="Times New Roman" w:cs="Times New Roman"/>
          <w:sz w:val="24"/>
        </w:rPr>
        <w:t>plaintiff</w:t>
      </w:r>
      <w:r w:rsidR="006036DB">
        <w:rPr>
          <w:rFonts w:ascii="Times New Roman" w:hAnsi="Times New Roman" w:cs="Times New Roman"/>
          <w:sz w:val="24"/>
        </w:rPr>
        <w:t xml:space="preserve"> brought this application.  I must point out that the rules of the court are generally meant for the just and effective resolution of disputes.  No litigant has the right to employ rules of court in a manner that is disruptive of litigation.  </w:t>
      </w:r>
      <w:r w:rsidR="00876936">
        <w:rPr>
          <w:rFonts w:ascii="Times New Roman" w:hAnsi="Times New Roman" w:cs="Times New Roman"/>
          <w:sz w:val="24"/>
        </w:rPr>
        <w:t xml:space="preserve"> The rules are not an </w:t>
      </w:r>
      <w:r w:rsidR="00876936">
        <w:rPr>
          <w:rFonts w:ascii="Times New Roman" w:hAnsi="Times New Roman" w:cs="Times New Roman"/>
          <w:sz w:val="24"/>
        </w:rPr>
        <w:lastRenderedPageBreak/>
        <w:t xml:space="preserve">end in themselves to be slavishly adhered to at the expense of the resolution of the real and genuine issues before the court.  See the remarks in </w:t>
      </w:r>
      <w:r w:rsidR="00876936" w:rsidRPr="00876936">
        <w:rPr>
          <w:rFonts w:ascii="Times New Roman" w:hAnsi="Times New Roman" w:cs="Times New Roman"/>
          <w:i/>
          <w:sz w:val="24"/>
        </w:rPr>
        <w:t xml:space="preserve">Profert Zimbabwe (Pvt) </w:t>
      </w:r>
      <w:proofErr w:type="gramStart"/>
      <w:r w:rsidR="00876936" w:rsidRPr="00876936">
        <w:rPr>
          <w:rFonts w:ascii="Times New Roman" w:hAnsi="Times New Roman" w:cs="Times New Roman"/>
          <w:i/>
          <w:sz w:val="24"/>
        </w:rPr>
        <w:t>Ltd</w:t>
      </w:r>
      <w:r w:rsidR="00876936">
        <w:rPr>
          <w:rFonts w:ascii="Times New Roman" w:hAnsi="Times New Roman" w:cs="Times New Roman"/>
          <w:sz w:val="24"/>
        </w:rPr>
        <w:t xml:space="preserve">  v</w:t>
      </w:r>
      <w:proofErr w:type="gramEnd"/>
      <w:r w:rsidR="00876936">
        <w:rPr>
          <w:rFonts w:ascii="Times New Roman" w:hAnsi="Times New Roman" w:cs="Times New Roman"/>
          <w:sz w:val="24"/>
        </w:rPr>
        <w:t xml:space="preserve"> </w:t>
      </w:r>
      <w:proofErr w:type="spellStart"/>
      <w:r w:rsidR="00876936" w:rsidRPr="00876936">
        <w:rPr>
          <w:rFonts w:ascii="Times New Roman" w:hAnsi="Times New Roman" w:cs="Times New Roman"/>
          <w:i/>
          <w:sz w:val="24"/>
        </w:rPr>
        <w:t>Macdom</w:t>
      </w:r>
      <w:proofErr w:type="spellEnd"/>
      <w:r w:rsidR="00876936" w:rsidRPr="00876936">
        <w:rPr>
          <w:rFonts w:ascii="Times New Roman" w:hAnsi="Times New Roman" w:cs="Times New Roman"/>
          <w:i/>
          <w:sz w:val="24"/>
        </w:rPr>
        <w:t xml:space="preserve"> Investments (Pvt) Ltd</w:t>
      </w:r>
      <w:r w:rsidR="00876936">
        <w:rPr>
          <w:rFonts w:ascii="Times New Roman" w:hAnsi="Times New Roman" w:cs="Times New Roman"/>
          <w:sz w:val="24"/>
        </w:rPr>
        <w:t xml:space="preserve"> HB 83/16.</w:t>
      </w:r>
    </w:p>
    <w:p w:rsidR="00876936" w:rsidRDefault="00876936" w:rsidP="002E2E6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substantive argument against the granting of condonation is that, in the </w:t>
      </w:r>
      <w:r w:rsidR="00340748">
        <w:rPr>
          <w:rFonts w:ascii="Times New Roman" w:hAnsi="Times New Roman" w:cs="Times New Roman"/>
          <w:sz w:val="24"/>
        </w:rPr>
        <w:t>light of the peremptory provisions of Order 4 rule 138 (</w:t>
      </w:r>
      <w:r w:rsidR="00162949">
        <w:rPr>
          <w:rFonts w:ascii="Times New Roman" w:hAnsi="Times New Roman" w:cs="Times New Roman"/>
          <w:sz w:val="24"/>
        </w:rPr>
        <w:t>c) as read with rule 238 (1) (a) of the rules of the High Court</w:t>
      </w:r>
      <w:r w:rsidR="000A5D67">
        <w:rPr>
          <w:rFonts w:ascii="Times New Roman" w:hAnsi="Times New Roman" w:cs="Times New Roman"/>
          <w:sz w:val="24"/>
        </w:rPr>
        <w:t>,</w:t>
      </w:r>
      <w:r w:rsidR="00162949">
        <w:rPr>
          <w:rFonts w:ascii="Times New Roman" w:hAnsi="Times New Roman" w:cs="Times New Roman"/>
          <w:sz w:val="24"/>
        </w:rPr>
        <w:t xml:space="preserve"> the setting down before trial of a special plea, application to strike out as well as an exception after a defendant fails to file its heads of argument timeously in terms of the rules is expressly forbidden.  It is argued that the purpose of the rule was to deal with or suppress the mischief of having a matter set down after defendant fails to file its heads of arguments timeously.  Rule 138 provides as follows:</w:t>
      </w:r>
    </w:p>
    <w:p w:rsidR="00CC1237" w:rsidRDefault="00CC1237" w:rsidP="00DF5909">
      <w:pPr>
        <w:spacing w:line="240" w:lineRule="auto"/>
        <w:contextualSpacing/>
        <w:jc w:val="both"/>
        <w:rPr>
          <w:rFonts w:ascii="Times New Roman" w:hAnsi="Times New Roman" w:cs="Times New Roman"/>
          <w:sz w:val="24"/>
        </w:rPr>
      </w:pPr>
      <w:r>
        <w:rPr>
          <w:rFonts w:ascii="Times New Roman" w:hAnsi="Times New Roman" w:cs="Times New Roman"/>
          <w:sz w:val="24"/>
        </w:rPr>
        <w:tab/>
        <w:t>“</w:t>
      </w:r>
      <w:r w:rsidR="005A7C9A">
        <w:rPr>
          <w:rFonts w:ascii="Times New Roman" w:hAnsi="Times New Roman" w:cs="Times New Roman"/>
          <w:sz w:val="24"/>
        </w:rPr>
        <w:t>Where a</w:t>
      </w:r>
      <w:r>
        <w:rPr>
          <w:rFonts w:ascii="Times New Roman" w:hAnsi="Times New Roman" w:cs="Times New Roman"/>
          <w:sz w:val="24"/>
        </w:rPr>
        <w:t xml:space="preserve"> special plea, exception or application to strike out has been filed-</w:t>
      </w:r>
    </w:p>
    <w:p w:rsidR="005A7C9A" w:rsidRDefault="00CC1237" w:rsidP="00DF5909">
      <w:pPr>
        <w:spacing w:line="240" w:lineRule="auto"/>
        <w:ind w:left="720" w:hanging="720"/>
        <w:contextualSpacing/>
        <w:jc w:val="both"/>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r>
      <w:proofErr w:type="gramStart"/>
      <w:r>
        <w:rPr>
          <w:rFonts w:ascii="Times New Roman" w:hAnsi="Times New Roman" w:cs="Times New Roman"/>
          <w:sz w:val="24"/>
        </w:rPr>
        <w:t>the</w:t>
      </w:r>
      <w:r w:rsidR="009B6E50">
        <w:rPr>
          <w:rFonts w:ascii="Times New Roman" w:hAnsi="Times New Roman" w:cs="Times New Roman"/>
          <w:sz w:val="24"/>
        </w:rPr>
        <w:t xml:space="preserve"> </w:t>
      </w:r>
      <w:r w:rsidR="00C0791D">
        <w:rPr>
          <w:rFonts w:ascii="Times New Roman" w:hAnsi="Times New Roman" w:cs="Times New Roman"/>
          <w:sz w:val="24"/>
        </w:rPr>
        <w:t xml:space="preserve"> </w:t>
      </w:r>
      <w:r>
        <w:rPr>
          <w:rFonts w:ascii="Times New Roman" w:hAnsi="Times New Roman" w:cs="Times New Roman"/>
          <w:sz w:val="24"/>
        </w:rPr>
        <w:t>parties</w:t>
      </w:r>
      <w:proofErr w:type="gramEnd"/>
      <w:r w:rsidR="009B6E50">
        <w:rPr>
          <w:rFonts w:ascii="Times New Roman" w:hAnsi="Times New Roman" w:cs="Times New Roman"/>
          <w:sz w:val="24"/>
        </w:rPr>
        <w:t xml:space="preserve"> </w:t>
      </w:r>
      <w:r w:rsidR="009467FA">
        <w:rPr>
          <w:rFonts w:ascii="Times New Roman" w:hAnsi="Times New Roman" w:cs="Times New Roman"/>
          <w:sz w:val="24"/>
        </w:rPr>
        <w:t xml:space="preserve"> </w:t>
      </w:r>
      <w:r>
        <w:rPr>
          <w:rFonts w:ascii="Times New Roman" w:hAnsi="Times New Roman" w:cs="Times New Roman"/>
          <w:sz w:val="24"/>
        </w:rPr>
        <w:t xml:space="preserve"> may consent within ten days of the filing of such special plea, </w:t>
      </w:r>
    </w:p>
    <w:p w:rsidR="00CC1237" w:rsidRDefault="00CC1237" w:rsidP="00DF5909">
      <w:pPr>
        <w:spacing w:line="240" w:lineRule="auto"/>
        <w:ind w:left="1440"/>
        <w:contextualSpacing/>
        <w:jc w:val="both"/>
        <w:rPr>
          <w:rFonts w:ascii="Times New Roman" w:hAnsi="Times New Roman" w:cs="Times New Roman"/>
          <w:sz w:val="24"/>
        </w:rPr>
      </w:pPr>
      <w:r>
        <w:rPr>
          <w:rFonts w:ascii="Times New Roman" w:hAnsi="Times New Roman" w:cs="Times New Roman"/>
          <w:sz w:val="24"/>
        </w:rPr>
        <w:t>exception or application being set down for hearing in accordance with sub rule (2) of rule 223.</w:t>
      </w:r>
    </w:p>
    <w:p w:rsidR="00CC1237" w:rsidRDefault="00CC1237" w:rsidP="00DF5909">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proofErr w:type="gramStart"/>
      <w:r>
        <w:rPr>
          <w:rFonts w:ascii="Times New Roman" w:hAnsi="Times New Roman" w:cs="Times New Roman"/>
          <w:sz w:val="24"/>
        </w:rPr>
        <w:t>failing</w:t>
      </w:r>
      <w:r w:rsidR="009467FA">
        <w:rPr>
          <w:rFonts w:ascii="Times New Roman" w:hAnsi="Times New Roman" w:cs="Times New Roman"/>
          <w:sz w:val="24"/>
        </w:rPr>
        <w:t xml:space="preserve"> </w:t>
      </w:r>
      <w:r>
        <w:rPr>
          <w:rFonts w:ascii="Times New Roman" w:hAnsi="Times New Roman" w:cs="Times New Roman"/>
          <w:sz w:val="24"/>
        </w:rPr>
        <w:t xml:space="preserve"> consent</w:t>
      </w:r>
      <w:proofErr w:type="gramEnd"/>
      <w:r>
        <w:rPr>
          <w:rFonts w:ascii="Times New Roman" w:hAnsi="Times New Roman" w:cs="Times New Roman"/>
          <w:sz w:val="24"/>
        </w:rPr>
        <w:t xml:space="preserve"> </w:t>
      </w:r>
      <w:r w:rsidR="009467FA">
        <w:rPr>
          <w:rFonts w:ascii="Times New Roman" w:hAnsi="Times New Roman" w:cs="Times New Roman"/>
          <w:sz w:val="24"/>
        </w:rPr>
        <w:t xml:space="preserve"> </w:t>
      </w:r>
      <w:r>
        <w:rPr>
          <w:rFonts w:ascii="Times New Roman" w:hAnsi="Times New Roman" w:cs="Times New Roman"/>
          <w:sz w:val="24"/>
        </w:rPr>
        <w:t xml:space="preserve">either party may within a further period of four days set the matter down for hearing in accordance with </w:t>
      </w:r>
      <w:proofErr w:type="spellStart"/>
      <w:r>
        <w:rPr>
          <w:rFonts w:ascii="Times New Roman" w:hAnsi="Times New Roman" w:cs="Times New Roman"/>
          <w:sz w:val="24"/>
        </w:rPr>
        <w:t>subrule</w:t>
      </w:r>
      <w:proofErr w:type="spellEnd"/>
      <w:r>
        <w:rPr>
          <w:rFonts w:ascii="Times New Roman" w:hAnsi="Times New Roman" w:cs="Times New Roman"/>
          <w:sz w:val="24"/>
        </w:rPr>
        <w:t xml:space="preserve"> (2) of rule 223; </w:t>
      </w:r>
    </w:p>
    <w:p w:rsidR="00CC1237" w:rsidRDefault="00CC1237" w:rsidP="00DF5909">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failing such consent and such applicants the party pleading specially, excepting or applying that within a further period of four days plead over to the merits if he has not already done so and the special plea, exception or application shall not be set down for hearing before the trial date.</w:t>
      </w:r>
      <w:r w:rsidR="00DF5909">
        <w:rPr>
          <w:rFonts w:ascii="Times New Roman" w:hAnsi="Times New Roman" w:cs="Times New Roman"/>
          <w:sz w:val="24"/>
        </w:rPr>
        <w:t>”</w:t>
      </w:r>
    </w:p>
    <w:p w:rsidR="00DF5909" w:rsidRDefault="00DF5909" w:rsidP="00DF5909">
      <w:pPr>
        <w:spacing w:line="240" w:lineRule="auto"/>
        <w:ind w:left="1440" w:hanging="720"/>
        <w:contextualSpacing/>
        <w:jc w:val="both"/>
        <w:rPr>
          <w:rFonts w:ascii="Times New Roman" w:hAnsi="Times New Roman" w:cs="Times New Roman"/>
          <w:sz w:val="24"/>
        </w:rPr>
      </w:pPr>
    </w:p>
    <w:p w:rsidR="00CC1237" w:rsidRDefault="00CC1237" w:rsidP="002E2E6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factors which this court should consider in an application for condonation are clearly set out in </w:t>
      </w:r>
      <w:r w:rsidRPr="00A34030">
        <w:rPr>
          <w:rFonts w:ascii="Times New Roman" w:hAnsi="Times New Roman" w:cs="Times New Roman"/>
          <w:i/>
          <w:sz w:val="24"/>
        </w:rPr>
        <w:t>Civil Practice of the Supreme Court of South Africa</w:t>
      </w:r>
      <w:r>
        <w:rPr>
          <w:rFonts w:ascii="Times New Roman" w:hAnsi="Times New Roman" w:cs="Times New Roman"/>
          <w:sz w:val="24"/>
        </w:rPr>
        <w:t>, 4</w:t>
      </w:r>
      <w:r w:rsidRPr="00CC1237">
        <w:rPr>
          <w:rFonts w:ascii="Times New Roman" w:hAnsi="Times New Roman" w:cs="Times New Roman"/>
          <w:sz w:val="24"/>
          <w:vertAlign w:val="superscript"/>
        </w:rPr>
        <w:t>th</w:t>
      </w:r>
      <w:r>
        <w:rPr>
          <w:rFonts w:ascii="Times New Roman" w:hAnsi="Times New Roman" w:cs="Times New Roman"/>
          <w:sz w:val="24"/>
        </w:rPr>
        <w:t xml:space="preserve"> Edition, by Van </w:t>
      </w:r>
      <w:proofErr w:type="spellStart"/>
      <w:r>
        <w:rPr>
          <w:rFonts w:ascii="Times New Roman" w:hAnsi="Times New Roman" w:cs="Times New Roman"/>
          <w:sz w:val="24"/>
        </w:rPr>
        <w:t>Winsen</w:t>
      </w:r>
      <w:proofErr w:type="spellEnd"/>
      <w:r>
        <w:rPr>
          <w:rFonts w:ascii="Times New Roman" w:hAnsi="Times New Roman" w:cs="Times New Roman"/>
          <w:sz w:val="24"/>
        </w:rPr>
        <w:t xml:space="preserve">, </w:t>
      </w:r>
      <w:proofErr w:type="spellStart"/>
      <w:r w:rsidR="00A34030">
        <w:rPr>
          <w:rFonts w:ascii="Times New Roman" w:hAnsi="Times New Roman" w:cs="Times New Roman"/>
          <w:sz w:val="24"/>
        </w:rPr>
        <w:t>Cilliers</w:t>
      </w:r>
      <w:proofErr w:type="spellEnd"/>
      <w:r w:rsidR="00A34030">
        <w:rPr>
          <w:rFonts w:ascii="Times New Roman" w:hAnsi="Times New Roman" w:cs="Times New Roman"/>
          <w:sz w:val="24"/>
        </w:rPr>
        <w:t xml:space="preserve"> and Loots at page 897 and 898 as follows:</w:t>
      </w:r>
    </w:p>
    <w:p w:rsidR="00A34030" w:rsidRPr="00DA6095" w:rsidRDefault="00A34030" w:rsidP="00DF5909">
      <w:pPr>
        <w:spacing w:line="240" w:lineRule="auto"/>
        <w:ind w:left="720"/>
        <w:contextualSpacing/>
        <w:jc w:val="both"/>
        <w:rPr>
          <w:rFonts w:ascii="Times New Roman" w:hAnsi="Times New Roman" w:cs="Times New Roman"/>
          <w:i/>
          <w:sz w:val="24"/>
        </w:rPr>
      </w:pPr>
      <w:r w:rsidRPr="00DA6095">
        <w:rPr>
          <w:rFonts w:ascii="Times New Roman" w:hAnsi="Times New Roman" w:cs="Times New Roman"/>
          <w:i/>
          <w:sz w:val="24"/>
        </w:rPr>
        <w:t>“Condonation of the non-observance of the rules is by no means a mere formality.  It is for the applicant to satisfy the court that there is sufficient cause to excuse him from non-compliance, and the fact that the respondent has no objection, although irrelevant, is by no means an overriding consideration.</w:t>
      </w:r>
    </w:p>
    <w:p w:rsidR="00A34030" w:rsidRPr="00DA6095" w:rsidRDefault="00A34030" w:rsidP="00DF5909">
      <w:pPr>
        <w:spacing w:line="240" w:lineRule="auto"/>
        <w:ind w:left="720"/>
        <w:contextualSpacing/>
        <w:jc w:val="both"/>
        <w:rPr>
          <w:rFonts w:ascii="Times New Roman" w:hAnsi="Times New Roman" w:cs="Times New Roman"/>
          <w:i/>
          <w:sz w:val="24"/>
        </w:rPr>
      </w:pPr>
      <w:r w:rsidRPr="00DA6095">
        <w:rPr>
          <w:rFonts w:ascii="Times New Roman" w:hAnsi="Times New Roman" w:cs="Times New Roman"/>
          <w:i/>
          <w:sz w:val="24"/>
        </w:rPr>
        <w:t xml:space="preserve">The court’s power to grant relief should not be exercised arbitrarily and upon the mere asking, but with proper judicial discretion and upon sufficient and satisfactory grounds being shown by the applicant.  In the determination whether sufficient cause has been shown the basic principle is that the court has a discretion, to be exercised judicially upon a consideration of all facts and in essence it is a matter of fairness to both sides in which the court will </w:t>
      </w:r>
      <w:proofErr w:type="spellStart"/>
      <w:r w:rsidRPr="00DA6095">
        <w:rPr>
          <w:rFonts w:ascii="Times New Roman" w:hAnsi="Times New Roman" w:cs="Times New Roman"/>
          <w:i/>
          <w:sz w:val="24"/>
        </w:rPr>
        <w:t>endeavour</w:t>
      </w:r>
      <w:proofErr w:type="spellEnd"/>
      <w:r w:rsidRPr="00DA6095">
        <w:rPr>
          <w:rFonts w:ascii="Times New Roman" w:hAnsi="Times New Roman" w:cs="Times New Roman"/>
          <w:i/>
          <w:sz w:val="24"/>
        </w:rPr>
        <w:t xml:space="preserve"> to</w:t>
      </w:r>
      <w:r w:rsidR="00727F18">
        <w:rPr>
          <w:rFonts w:ascii="Times New Roman" w:hAnsi="Times New Roman" w:cs="Times New Roman"/>
          <w:i/>
          <w:sz w:val="24"/>
        </w:rPr>
        <w:t xml:space="preserve"> reach a conclusion that will br</w:t>
      </w:r>
      <w:r w:rsidRPr="00DA6095">
        <w:rPr>
          <w:rFonts w:ascii="Times New Roman" w:hAnsi="Times New Roman" w:cs="Times New Roman"/>
          <w:i/>
          <w:sz w:val="24"/>
        </w:rPr>
        <w:t xml:space="preserve">ing the best interests of justice.  The factors usually weighed by the court in considering applications for condonation ---- include the degree of non-compliance, the explanation for it, the importance of the case, the prospects of success, the respondent’s interest in the finality </w:t>
      </w:r>
      <w:r w:rsidRPr="00DA6095">
        <w:rPr>
          <w:rFonts w:ascii="Times New Roman" w:hAnsi="Times New Roman" w:cs="Times New Roman"/>
          <w:i/>
          <w:sz w:val="24"/>
        </w:rPr>
        <w:lastRenderedPageBreak/>
        <w:t xml:space="preserve">of his judgment, the </w:t>
      </w:r>
      <w:r w:rsidR="00055A5C" w:rsidRPr="00DA6095">
        <w:rPr>
          <w:rFonts w:ascii="Times New Roman" w:hAnsi="Times New Roman" w:cs="Times New Roman"/>
          <w:i/>
          <w:sz w:val="24"/>
        </w:rPr>
        <w:t>convenience of the  court and the avoidance of unnecessary delay in the administration of justice ---.”</w:t>
      </w:r>
    </w:p>
    <w:p w:rsidR="00DF5909" w:rsidRDefault="00DF5909" w:rsidP="00DF5909">
      <w:pPr>
        <w:spacing w:line="240" w:lineRule="auto"/>
        <w:ind w:left="720"/>
        <w:contextualSpacing/>
        <w:jc w:val="both"/>
        <w:rPr>
          <w:rFonts w:ascii="Times New Roman" w:hAnsi="Times New Roman" w:cs="Times New Roman"/>
          <w:sz w:val="24"/>
        </w:rPr>
      </w:pPr>
    </w:p>
    <w:p w:rsidR="003432F5" w:rsidRDefault="003432F5" w:rsidP="002E2E6F">
      <w:pPr>
        <w:spacing w:line="360" w:lineRule="auto"/>
        <w:contextualSpacing/>
        <w:jc w:val="both"/>
        <w:rPr>
          <w:rFonts w:ascii="Times New Roman" w:hAnsi="Times New Roman" w:cs="Times New Roman"/>
          <w:sz w:val="24"/>
        </w:rPr>
      </w:pPr>
      <w:r>
        <w:rPr>
          <w:rFonts w:ascii="Times New Roman" w:hAnsi="Times New Roman" w:cs="Times New Roman"/>
          <w:sz w:val="24"/>
        </w:rPr>
        <w:tab/>
        <w:t>In applying these principles to the factual basis of the matter, the degree of non-compliance is not inordinate at all.  It is my view that the application for condonation is merited for the following reasons:</w:t>
      </w:r>
    </w:p>
    <w:p w:rsidR="003432F5" w:rsidRDefault="003432F5" w:rsidP="003432F5">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The exception by the defendants was not opposed until the 17</w:t>
      </w:r>
      <w:r w:rsidRPr="003432F5">
        <w:rPr>
          <w:rFonts w:ascii="Times New Roman" w:hAnsi="Times New Roman" w:cs="Times New Roman"/>
          <w:sz w:val="24"/>
          <w:vertAlign w:val="superscript"/>
        </w:rPr>
        <w:t>th</w:t>
      </w:r>
      <w:r w:rsidR="00DA6095">
        <w:rPr>
          <w:rFonts w:ascii="Times New Roman" w:hAnsi="Times New Roman" w:cs="Times New Roman"/>
          <w:sz w:val="24"/>
        </w:rPr>
        <w:t xml:space="preserve"> July 2017</w:t>
      </w:r>
      <w:r>
        <w:rPr>
          <w:rFonts w:ascii="Times New Roman" w:hAnsi="Times New Roman" w:cs="Times New Roman"/>
          <w:sz w:val="24"/>
        </w:rPr>
        <w:t xml:space="preserve">.  By then the heads of argument had been filed and the Notice of Set Down sent to the Registrar.  </w:t>
      </w:r>
    </w:p>
    <w:p w:rsidR="003432F5" w:rsidRDefault="003432F5" w:rsidP="00A71FAE">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00DA6095">
        <w:rPr>
          <w:rFonts w:ascii="Times New Roman" w:hAnsi="Times New Roman" w:cs="Times New Roman"/>
          <w:sz w:val="24"/>
        </w:rPr>
        <w:t>The</w:t>
      </w:r>
      <w:r>
        <w:rPr>
          <w:rFonts w:ascii="Times New Roman" w:hAnsi="Times New Roman" w:cs="Times New Roman"/>
          <w:sz w:val="24"/>
        </w:rPr>
        <w:t xml:space="preserve"> prospects of success of the special plea, </w:t>
      </w:r>
      <w:r w:rsidR="00A71FAE">
        <w:rPr>
          <w:rFonts w:ascii="Times New Roman" w:hAnsi="Times New Roman" w:cs="Times New Roman"/>
          <w:sz w:val="24"/>
        </w:rPr>
        <w:t>exception and application to strike out are reasonable.  The issues that have been raised are not frivolous and vexatious.</w:t>
      </w:r>
    </w:p>
    <w:p w:rsidR="00A71FAE" w:rsidRDefault="00A71FAE" w:rsidP="00A71FAE">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There is absolutely no prejudice to the plaintiff if the matter is dealt with on the merits.  All pleadings have been filed for the purposes of special plea, exception and application to strike out.</w:t>
      </w:r>
    </w:p>
    <w:p w:rsidR="00A71FAE" w:rsidRDefault="00A71FAE" w:rsidP="00A71FAE">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r w:rsidR="00DA6095">
        <w:rPr>
          <w:rFonts w:ascii="Times New Roman" w:hAnsi="Times New Roman" w:cs="Times New Roman"/>
          <w:sz w:val="24"/>
        </w:rPr>
        <w:t>The</w:t>
      </w:r>
      <w:r>
        <w:rPr>
          <w:rFonts w:ascii="Times New Roman" w:hAnsi="Times New Roman" w:cs="Times New Roman"/>
          <w:sz w:val="24"/>
        </w:rPr>
        <w:t xml:space="preserve"> balance of convenience </w:t>
      </w:r>
      <w:proofErr w:type="spellStart"/>
      <w:r>
        <w:rPr>
          <w:rFonts w:ascii="Times New Roman" w:hAnsi="Times New Roman" w:cs="Times New Roman"/>
          <w:sz w:val="24"/>
        </w:rPr>
        <w:t>favours</w:t>
      </w:r>
      <w:proofErr w:type="spellEnd"/>
      <w:r>
        <w:rPr>
          <w:rFonts w:ascii="Times New Roman" w:hAnsi="Times New Roman" w:cs="Times New Roman"/>
          <w:sz w:val="24"/>
        </w:rPr>
        <w:t xml:space="preserve"> the matters being disposed of on the merits.  Refusing to grant the condonation sought would not do justice to the case and the parties involved.</w:t>
      </w:r>
    </w:p>
    <w:p w:rsidR="00A71FAE" w:rsidRDefault="00A71FAE" w:rsidP="002E2E6F">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For these </w:t>
      </w:r>
      <w:r w:rsidR="005A7C9A">
        <w:rPr>
          <w:rFonts w:ascii="Times New Roman" w:hAnsi="Times New Roman" w:cs="Times New Roman"/>
          <w:sz w:val="24"/>
        </w:rPr>
        <w:t>reasons</w:t>
      </w:r>
      <w:r>
        <w:rPr>
          <w:rFonts w:ascii="Times New Roman" w:hAnsi="Times New Roman" w:cs="Times New Roman"/>
          <w:sz w:val="24"/>
        </w:rPr>
        <w:t xml:space="preserve"> the application for condonation is allowed.</w:t>
      </w:r>
    </w:p>
    <w:p w:rsidR="00A71FAE" w:rsidRDefault="00A71FAE" w:rsidP="002E2E6F">
      <w:pPr>
        <w:spacing w:line="360" w:lineRule="auto"/>
        <w:contextualSpacing/>
        <w:jc w:val="both"/>
        <w:rPr>
          <w:rFonts w:ascii="Times New Roman" w:hAnsi="Times New Roman" w:cs="Times New Roman"/>
          <w:sz w:val="24"/>
        </w:rPr>
      </w:pPr>
    </w:p>
    <w:p w:rsidR="00A71FAE" w:rsidRPr="00F85CDD" w:rsidRDefault="00A71FAE" w:rsidP="002E2E6F">
      <w:pPr>
        <w:spacing w:line="360" w:lineRule="auto"/>
        <w:contextualSpacing/>
        <w:jc w:val="both"/>
        <w:rPr>
          <w:rFonts w:ascii="Times New Roman" w:hAnsi="Times New Roman" w:cs="Times New Roman"/>
          <w:b/>
          <w:sz w:val="24"/>
          <w:u w:val="single"/>
        </w:rPr>
      </w:pPr>
      <w:r w:rsidRPr="00F85CDD">
        <w:rPr>
          <w:rFonts w:ascii="Times New Roman" w:hAnsi="Times New Roman" w:cs="Times New Roman"/>
          <w:b/>
          <w:sz w:val="24"/>
          <w:u w:val="single"/>
        </w:rPr>
        <w:t>The application to strike out</w:t>
      </w:r>
    </w:p>
    <w:p w:rsidR="00A71FAE" w:rsidRDefault="00A71FAE" w:rsidP="002E2E6F">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Rule 140 of the High Court </w:t>
      </w:r>
      <w:r w:rsidR="00DA6095">
        <w:rPr>
          <w:rFonts w:ascii="Times New Roman" w:hAnsi="Times New Roman" w:cs="Times New Roman"/>
          <w:sz w:val="24"/>
        </w:rPr>
        <w:t>R</w:t>
      </w:r>
      <w:r>
        <w:rPr>
          <w:rFonts w:ascii="Times New Roman" w:hAnsi="Times New Roman" w:cs="Times New Roman"/>
          <w:sz w:val="24"/>
        </w:rPr>
        <w:t>ules, 1971 reads as follows:</w:t>
      </w:r>
    </w:p>
    <w:p w:rsidR="00A71FAE" w:rsidRPr="00DA6095" w:rsidRDefault="00A71FAE" w:rsidP="00DA6095">
      <w:pPr>
        <w:spacing w:line="240" w:lineRule="auto"/>
        <w:contextualSpacing/>
        <w:jc w:val="both"/>
        <w:rPr>
          <w:rFonts w:ascii="Times New Roman" w:hAnsi="Times New Roman" w:cs="Times New Roman"/>
          <w:i/>
          <w:sz w:val="24"/>
        </w:rPr>
      </w:pPr>
      <w:r>
        <w:rPr>
          <w:rFonts w:ascii="Times New Roman" w:hAnsi="Times New Roman" w:cs="Times New Roman"/>
          <w:sz w:val="24"/>
        </w:rPr>
        <w:tab/>
      </w:r>
      <w:r w:rsidRPr="00DA6095">
        <w:rPr>
          <w:rFonts w:ascii="Times New Roman" w:hAnsi="Times New Roman" w:cs="Times New Roman"/>
          <w:i/>
          <w:sz w:val="24"/>
        </w:rPr>
        <w:t>“Before-</w:t>
      </w:r>
    </w:p>
    <w:p w:rsidR="00A71FAE" w:rsidRPr="00DA6095" w:rsidRDefault="00A71FAE" w:rsidP="00DA6095">
      <w:pPr>
        <w:spacing w:line="240" w:lineRule="auto"/>
        <w:ind w:left="720" w:hanging="720"/>
        <w:contextualSpacing/>
        <w:jc w:val="both"/>
        <w:rPr>
          <w:rFonts w:ascii="Times New Roman" w:hAnsi="Times New Roman" w:cs="Times New Roman"/>
          <w:i/>
          <w:sz w:val="24"/>
        </w:rPr>
      </w:pPr>
      <w:r w:rsidRPr="00DA6095">
        <w:rPr>
          <w:rFonts w:ascii="Times New Roman" w:hAnsi="Times New Roman" w:cs="Times New Roman"/>
          <w:i/>
          <w:sz w:val="24"/>
        </w:rPr>
        <w:tab/>
        <w:t>(a)</w:t>
      </w:r>
      <w:r w:rsidRPr="00DA6095">
        <w:rPr>
          <w:rFonts w:ascii="Times New Roman" w:hAnsi="Times New Roman" w:cs="Times New Roman"/>
          <w:i/>
          <w:sz w:val="24"/>
        </w:rPr>
        <w:tab/>
        <w:t>making</w:t>
      </w:r>
      <w:r w:rsidR="00564F60">
        <w:rPr>
          <w:rFonts w:ascii="Times New Roman" w:hAnsi="Times New Roman" w:cs="Times New Roman"/>
          <w:i/>
          <w:sz w:val="24"/>
        </w:rPr>
        <w:t xml:space="preserve"> </w:t>
      </w:r>
      <w:r w:rsidR="00F85CDD">
        <w:rPr>
          <w:rFonts w:ascii="Times New Roman" w:hAnsi="Times New Roman" w:cs="Times New Roman"/>
          <w:i/>
          <w:sz w:val="24"/>
        </w:rPr>
        <w:t xml:space="preserve"> </w:t>
      </w:r>
      <w:r w:rsidRPr="00DA6095">
        <w:rPr>
          <w:rFonts w:ascii="Times New Roman" w:hAnsi="Times New Roman" w:cs="Times New Roman"/>
          <w:i/>
          <w:sz w:val="24"/>
        </w:rPr>
        <w:t xml:space="preserve"> </w:t>
      </w:r>
      <w:proofErr w:type="gramStart"/>
      <w:r w:rsidRPr="00DA6095">
        <w:rPr>
          <w:rFonts w:ascii="Times New Roman" w:hAnsi="Times New Roman" w:cs="Times New Roman"/>
          <w:i/>
          <w:sz w:val="24"/>
        </w:rPr>
        <w:t xml:space="preserve">a </w:t>
      </w:r>
      <w:r w:rsidR="00F85CDD">
        <w:rPr>
          <w:rFonts w:ascii="Times New Roman" w:hAnsi="Times New Roman" w:cs="Times New Roman"/>
          <w:i/>
          <w:sz w:val="24"/>
        </w:rPr>
        <w:t xml:space="preserve"> </w:t>
      </w:r>
      <w:r w:rsidRPr="00DA6095">
        <w:rPr>
          <w:rFonts w:ascii="Times New Roman" w:hAnsi="Times New Roman" w:cs="Times New Roman"/>
          <w:i/>
          <w:sz w:val="24"/>
        </w:rPr>
        <w:t>court</w:t>
      </w:r>
      <w:proofErr w:type="gramEnd"/>
      <w:r w:rsidRPr="00DA6095">
        <w:rPr>
          <w:rFonts w:ascii="Times New Roman" w:hAnsi="Times New Roman" w:cs="Times New Roman"/>
          <w:i/>
          <w:sz w:val="24"/>
        </w:rPr>
        <w:t xml:space="preserve"> application </w:t>
      </w:r>
      <w:r w:rsidR="00992463">
        <w:rPr>
          <w:rFonts w:ascii="Times New Roman" w:hAnsi="Times New Roman" w:cs="Times New Roman"/>
          <w:i/>
          <w:sz w:val="24"/>
        </w:rPr>
        <w:t>to strike out any portion of a pleading</w:t>
      </w:r>
      <w:r w:rsidRPr="00DA6095">
        <w:rPr>
          <w:rFonts w:ascii="Times New Roman" w:hAnsi="Times New Roman" w:cs="Times New Roman"/>
          <w:i/>
          <w:sz w:val="24"/>
        </w:rPr>
        <w:t xml:space="preserve"> on any </w:t>
      </w:r>
    </w:p>
    <w:p w:rsidR="00A71FAE" w:rsidRPr="00DA6095" w:rsidRDefault="00564F60" w:rsidP="00DA6095">
      <w:pPr>
        <w:spacing w:line="240" w:lineRule="auto"/>
        <w:ind w:left="720" w:firstLine="720"/>
        <w:contextualSpacing/>
        <w:jc w:val="both"/>
        <w:rPr>
          <w:rFonts w:ascii="Times New Roman" w:hAnsi="Times New Roman" w:cs="Times New Roman"/>
          <w:i/>
          <w:sz w:val="24"/>
        </w:rPr>
      </w:pPr>
      <w:proofErr w:type="gramStart"/>
      <w:r>
        <w:rPr>
          <w:rFonts w:ascii="Times New Roman" w:hAnsi="Times New Roman" w:cs="Times New Roman"/>
          <w:i/>
          <w:sz w:val="24"/>
        </w:rPr>
        <w:t>g</w:t>
      </w:r>
      <w:r w:rsidR="00A71FAE" w:rsidRPr="00DA6095">
        <w:rPr>
          <w:rFonts w:ascii="Times New Roman" w:hAnsi="Times New Roman" w:cs="Times New Roman"/>
          <w:i/>
          <w:sz w:val="24"/>
        </w:rPr>
        <w:t>rounds;</w:t>
      </w:r>
      <w:r w:rsidR="00F85CDD">
        <w:rPr>
          <w:rFonts w:ascii="Times New Roman" w:hAnsi="Times New Roman" w:cs="Times New Roman"/>
          <w:i/>
          <w:sz w:val="24"/>
        </w:rPr>
        <w:t xml:space="preserve"> </w:t>
      </w:r>
      <w:r w:rsidR="00A71FAE" w:rsidRPr="00DA6095">
        <w:rPr>
          <w:rFonts w:ascii="Times New Roman" w:hAnsi="Times New Roman" w:cs="Times New Roman"/>
          <w:i/>
          <w:sz w:val="24"/>
        </w:rPr>
        <w:t xml:space="preserve"> or</w:t>
      </w:r>
      <w:proofErr w:type="gramEnd"/>
    </w:p>
    <w:p w:rsidR="00992463" w:rsidRDefault="00A71FAE" w:rsidP="00DA6095">
      <w:pPr>
        <w:spacing w:line="240" w:lineRule="auto"/>
        <w:ind w:left="1440" w:hanging="720"/>
        <w:contextualSpacing/>
        <w:jc w:val="both"/>
        <w:rPr>
          <w:rFonts w:ascii="Times New Roman" w:hAnsi="Times New Roman" w:cs="Times New Roman"/>
          <w:i/>
          <w:sz w:val="24"/>
        </w:rPr>
      </w:pPr>
      <w:r w:rsidRPr="00DA6095">
        <w:rPr>
          <w:rFonts w:ascii="Times New Roman" w:hAnsi="Times New Roman" w:cs="Times New Roman"/>
          <w:i/>
          <w:sz w:val="24"/>
        </w:rPr>
        <w:t>(b)</w:t>
      </w:r>
      <w:r w:rsidRPr="00DA6095">
        <w:rPr>
          <w:rFonts w:ascii="Times New Roman" w:hAnsi="Times New Roman" w:cs="Times New Roman"/>
          <w:i/>
          <w:sz w:val="24"/>
        </w:rPr>
        <w:tab/>
        <w:t>filing an exception to a pleading</w:t>
      </w:r>
      <w:r w:rsidR="00992463">
        <w:rPr>
          <w:rFonts w:ascii="Times New Roman" w:hAnsi="Times New Roman" w:cs="Times New Roman"/>
          <w:i/>
          <w:sz w:val="24"/>
        </w:rPr>
        <w:t>;</w:t>
      </w:r>
    </w:p>
    <w:p w:rsidR="00992463" w:rsidRDefault="00992463" w:rsidP="00DA6095">
      <w:pPr>
        <w:spacing w:line="240" w:lineRule="auto"/>
        <w:ind w:left="1440" w:hanging="720"/>
        <w:contextualSpacing/>
        <w:jc w:val="both"/>
        <w:rPr>
          <w:rFonts w:ascii="Times New Roman" w:hAnsi="Times New Roman" w:cs="Times New Roman"/>
          <w:i/>
          <w:sz w:val="24"/>
        </w:rPr>
      </w:pPr>
    </w:p>
    <w:p w:rsidR="00DA6095" w:rsidRDefault="00992463" w:rsidP="00992463">
      <w:pPr>
        <w:spacing w:line="240" w:lineRule="auto"/>
        <w:ind w:left="1440"/>
        <w:contextualSpacing/>
        <w:jc w:val="both"/>
        <w:rPr>
          <w:rFonts w:ascii="Times New Roman" w:hAnsi="Times New Roman" w:cs="Times New Roman"/>
          <w:i/>
          <w:sz w:val="24"/>
        </w:rPr>
      </w:pPr>
      <w:r>
        <w:rPr>
          <w:rFonts w:ascii="Times New Roman" w:hAnsi="Times New Roman" w:cs="Times New Roman"/>
          <w:i/>
          <w:sz w:val="24"/>
        </w:rPr>
        <w:t>The party complaining of any pleading may state by letter to the other party the nature of the complaint and call upon the other party to amend its pleading so as to remove the cause of complaint.”</w:t>
      </w:r>
    </w:p>
    <w:p w:rsidR="00992463" w:rsidRPr="00DA6095" w:rsidRDefault="00992463" w:rsidP="00992463">
      <w:pPr>
        <w:spacing w:line="240" w:lineRule="auto"/>
        <w:ind w:left="1440"/>
        <w:contextualSpacing/>
        <w:jc w:val="both"/>
        <w:rPr>
          <w:rFonts w:ascii="Times New Roman" w:hAnsi="Times New Roman" w:cs="Times New Roman"/>
          <w:i/>
          <w:sz w:val="24"/>
        </w:rPr>
      </w:pPr>
    </w:p>
    <w:p w:rsidR="00A71FAE" w:rsidRDefault="00A71FAE" w:rsidP="00A71FA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plaintiff avers that the rules contemplate the filing of a court application in making an application to strike out.  It is argued that the application does not comply with the rules of court and must be dismissed with costs.  Further plaintiff argues that there was no notice in terms of rule 140 </w:t>
      </w:r>
      <w:r w:rsidR="008879CD">
        <w:rPr>
          <w:rFonts w:ascii="Times New Roman" w:hAnsi="Times New Roman" w:cs="Times New Roman"/>
          <w:sz w:val="24"/>
        </w:rPr>
        <w:t xml:space="preserve">(1) (b) </w:t>
      </w:r>
      <w:r>
        <w:rPr>
          <w:rFonts w:ascii="Times New Roman" w:hAnsi="Times New Roman" w:cs="Times New Roman"/>
          <w:sz w:val="24"/>
        </w:rPr>
        <w:t>of the High Court rules</w:t>
      </w:r>
      <w:r w:rsidR="008879CD">
        <w:rPr>
          <w:rFonts w:ascii="Times New Roman" w:hAnsi="Times New Roman" w:cs="Times New Roman"/>
          <w:sz w:val="24"/>
        </w:rPr>
        <w:t xml:space="preserve"> calling upon the plaintiff to remove the cause of </w:t>
      </w:r>
      <w:r w:rsidR="008879CD">
        <w:rPr>
          <w:rFonts w:ascii="Times New Roman" w:hAnsi="Times New Roman" w:cs="Times New Roman"/>
          <w:sz w:val="24"/>
        </w:rPr>
        <w:lastRenderedPageBreak/>
        <w:t>complaint</w:t>
      </w:r>
      <w:r>
        <w:rPr>
          <w:rFonts w:ascii="Times New Roman" w:hAnsi="Times New Roman" w:cs="Times New Roman"/>
          <w:sz w:val="24"/>
        </w:rPr>
        <w:t xml:space="preserve">.  In the present matter, however, upon being served with the application to strike out, the </w:t>
      </w:r>
      <w:r w:rsidR="008879CD">
        <w:rPr>
          <w:rFonts w:ascii="Times New Roman" w:hAnsi="Times New Roman" w:cs="Times New Roman"/>
          <w:sz w:val="24"/>
        </w:rPr>
        <w:t>plaintiff</w:t>
      </w:r>
      <w:r>
        <w:rPr>
          <w:rFonts w:ascii="Times New Roman" w:hAnsi="Times New Roman" w:cs="Times New Roman"/>
          <w:sz w:val="24"/>
        </w:rPr>
        <w:t xml:space="preserve"> sought to remove the cause of complaint.  The plaintiff filed an Amended Declaration, in which the complaints cited in the application to strike out were</w:t>
      </w:r>
      <w:r w:rsidR="003C752A">
        <w:rPr>
          <w:rFonts w:ascii="Times New Roman" w:hAnsi="Times New Roman" w:cs="Times New Roman"/>
          <w:sz w:val="24"/>
        </w:rPr>
        <w:t xml:space="preserve"> supposedly</w:t>
      </w:r>
      <w:r>
        <w:rPr>
          <w:rFonts w:ascii="Times New Roman" w:hAnsi="Times New Roman" w:cs="Times New Roman"/>
          <w:sz w:val="24"/>
        </w:rPr>
        <w:t xml:space="preserve"> taken care of.  It is c</w:t>
      </w:r>
      <w:r w:rsidR="00146C82">
        <w:rPr>
          <w:rFonts w:ascii="Times New Roman" w:hAnsi="Times New Roman" w:cs="Times New Roman"/>
          <w:sz w:val="24"/>
        </w:rPr>
        <w:t>l</w:t>
      </w:r>
      <w:r>
        <w:rPr>
          <w:rFonts w:ascii="Times New Roman" w:hAnsi="Times New Roman" w:cs="Times New Roman"/>
          <w:sz w:val="24"/>
        </w:rPr>
        <w:t>ear that the application to strike out, though not in the normal form prescribed by the rules, has been conceded by the plaintiff.  The paragraphs complained of have no place in a pleading.  The declaration was simply telling a story and was not a declaration at all.  The rules a</w:t>
      </w:r>
      <w:r w:rsidR="00146C82">
        <w:rPr>
          <w:rFonts w:ascii="Times New Roman" w:hAnsi="Times New Roman" w:cs="Times New Roman"/>
          <w:sz w:val="24"/>
        </w:rPr>
        <w:t xml:space="preserve">re clear </w:t>
      </w:r>
      <w:r w:rsidR="00DA6095">
        <w:rPr>
          <w:rFonts w:ascii="Times New Roman" w:hAnsi="Times New Roman" w:cs="Times New Roman"/>
          <w:sz w:val="24"/>
        </w:rPr>
        <w:t>a</w:t>
      </w:r>
      <w:r w:rsidR="005C65EE">
        <w:rPr>
          <w:rFonts w:ascii="Times New Roman" w:hAnsi="Times New Roman" w:cs="Times New Roman"/>
          <w:sz w:val="24"/>
        </w:rPr>
        <w:t>s to what a pleading is</w:t>
      </w:r>
      <w:r w:rsidR="00146C82">
        <w:rPr>
          <w:rFonts w:ascii="Times New Roman" w:hAnsi="Times New Roman" w:cs="Times New Roman"/>
          <w:sz w:val="24"/>
        </w:rPr>
        <w:t>.  Rule 99(c) provides as follows:</w:t>
      </w:r>
    </w:p>
    <w:p w:rsidR="00A96DD6" w:rsidRPr="00DA6095" w:rsidRDefault="00A96DD6" w:rsidP="00DA6095">
      <w:pPr>
        <w:spacing w:line="240" w:lineRule="auto"/>
        <w:contextualSpacing/>
        <w:jc w:val="both"/>
        <w:rPr>
          <w:rFonts w:ascii="Times New Roman" w:hAnsi="Times New Roman" w:cs="Times New Roman"/>
          <w:i/>
          <w:sz w:val="24"/>
        </w:rPr>
      </w:pPr>
      <w:r>
        <w:rPr>
          <w:rFonts w:ascii="Times New Roman" w:hAnsi="Times New Roman" w:cs="Times New Roman"/>
          <w:sz w:val="24"/>
        </w:rPr>
        <w:tab/>
      </w:r>
      <w:r w:rsidRPr="00DA6095">
        <w:rPr>
          <w:rFonts w:ascii="Times New Roman" w:hAnsi="Times New Roman" w:cs="Times New Roman"/>
          <w:i/>
          <w:sz w:val="24"/>
        </w:rPr>
        <w:t>“A pleading shall</w:t>
      </w:r>
    </w:p>
    <w:p w:rsidR="00A96DD6" w:rsidRPr="00DA6095" w:rsidRDefault="00A96DD6" w:rsidP="00DA6095">
      <w:pPr>
        <w:spacing w:line="240" w:lineRule="auto"/>
        <w:contextualSpacing/>
        <w:jc w:val="both"/>
        <w:rPr>
          <w:rFonts w:ascii="Times New Roman" w:hAnsi="Times New Roman" w:cs="Times New Roman"/>
          <w:i/>
          <w:sz w:val="24"/>
        </w:rPr>
      </w:pPr>
      <w:r w:rsidRPr="00DA6095">
        <w:rPr>
          <w:rFonts w:ascii="Times New Roman" w:hAnsi="Times New Roman" w:cs="Times New Roman"/>
          <w:i/>
          <w:sz w:val="24"/>
        </w:rPr>
        <w:tab/>
        <w:t>----</w:t>
      </w:r>
    </w:p>
    <w:p w:rsidR="00A96DD6" w:rsidRPr="00DA6095" w:rsidRDefault="00A96DD6" w:rsidP="00DA6095">
      <w:pPr>
        <w:spacing w:line="240" w:lineRule="auto"/>
        <w:ind w:left="720" w:hanging="720"/>
        <w:contextualSpacing/>
        <w:jc w:val="both"/>
        <w:rPr>
          <w:rFonts w:ascii="Times New Roman" w:hAnsi="Times New Roman" w:cs="Times New Roman"/>
          <w:i/>
          <w:sz w:val="24"/>
        </w:rPr>
      </w:pPr>
      <w:r w:rsidRPr="00DA6095">
        <w:rPr>
          <w:rFonts w:ascii="Times New Roman" w:hAnsi="Times New Roman" w:cs="Times New Roman"/>
          <w:i/>
          <w:sz w:val="24"/>
        </w:rPr>
        <w:tab/>
        <w:t>(c)</w:t>
      </w:r>
      <w:r w:rsidRPr="00DA6095">
        <w:rPr>
          <w:rFonts w:ascii="Times New Roman" w:hAnsi="Times New Roman" w:cs="Times New Roman"/>
          <w:i/>
          <w:sz w:val="24"/>
        </w:rPr>
        <w:tab/>
        <w:t xml:space="preserve">contain a statement in summary form of material facts on which the party relies </w:t>
      </w:r>
    </w:p>
    <w:p w:rsidR="00A96DD6" w:rsidRDefault="00A96DD6" w:rsidP="00DA6095">
      <w:pPr>
        <w:spacing w:line="240" w:lineRule="auto"/>
        <w:ind w:left="1440"/>
        <w:contextualSpacing/>
        <w:jc w:val="both"/>
        <w:rPr>
          <w:rFonts w:ascii="Times New Roman" w:hAnsi="Times New Roman" w:cs="Times New Roman"/>
          <w:i/>
          <w:sz w:val="24"/>
        </w:rPr>
      </w:pPr>
      <w:r w:rsidRPr="00DA6095">
        <w:rPr>
          <w:rFonts w:ascii="Times New Roman" w:hAnsi="Times New Roman" w:cs="Times New Roman"/>
          <w:i/>
          <w:sz w:val="24"/>
        </w:rPr>
        <w:t>for his claim or defence, as the case may be, but not the evidence by which they are to be proved.”</w:t>
      </w:r>
    </w:p>
    <w:p w:rsidR="00DA6095" w:rsidRPr="00DA6095" w:rsidRDefault="00DA6095" w:rsidP="00DA6095">
      <w:pPr>
        <w:spacing w:line="240" w:lineRule="auto"/>
        <w:ind w:left="1440"/>
        <w:contextualSpacing/>
        <w:jc w:val="both"/>
        <w:rPr>
          <w:rFonts w:ascii="Times New Roman" w:hAnsi="Times New Roman" w:cs="Times New Roman"/>
          <w:i/>
          <w:sz w:val="24"/>
        </w:rPr>
      </w:pPr>
    </w:p>
    <w:p w:rsidR="00A96DD6" w:rsidRDefault="00A96DD6" w:rsidP="00DA6095">
      <w:pPr>
        <w:spacing w:line="360" w:lineRule="auto"/>
        <w:contextualSpacing/>
        <w:jc w:val="both"/>
        <w:rPr>
          <w:rFonts w:ascii="Times New Roman" w:hAnsi="Times New Roman" w:cs="Times New Roman"/>
          <w:sz w:val="24"/>
        </w:rPr>
      </w:pPr>
      <w:r>
        <w:rPr>
          <w:rFonts w:ascii="Times New Roman" w:hAnsi="Times New Roman" w:cs="Times New Roman"/>
          <w:sz w:val="24"/>
        </w:rPr>
        <w:tab/>
        <w:t>The plaintiff’s declaration was crafted in breach of rule 99 of the High Court Rules.  The impugned paragraphs must therefore be stri</w:t>
      </w:r>
      <w:r w:rsidR="001E3B62">
        <w:rPr>
          <w:rFonts w:ascii="Times New Roman" w:hAnsi="Times New Roman" w:cs="Times New Roman"/>
          <w:sz w:val="24"/>
        </w:rPr>
        <w:t>c</w:t>
      </w:r>
      <w:r>
        <w:rPr>
          <w:rFonts w:ascii="Times New Roman" w:hAnsi="Times New Roman" w:cs="Times New Roman"/>
          <w:sz w:val="24"/>
        </w:rPr>
        <w:t>ke</w:t>
      </w:r>
      <w:r w:rsidR="00C20DDD">
        <w:rPr>
          <w:rFonts w:ascii="Times New Roman" w:hAnsi="Times New Roman" w:cs="Times New Roman"/>
          <w:sz w:val="24"/>
        </w:rPr>
        <w:t>n</w:t>
      </w:r>
      <w:r>
        <w:rPr>
          <w:rFonts w:ascii="Times New Roman" w:hAnsi="Times New Roman" w:cs="Times New Roman"/>
          <w:sz w:val="24"/>
        </w:rPr>
        <w:t xml:space="preserve"> out.  Rule 137 of the</w:t>
      </w:r>
      <w:r w:rsidR="00CC37E1">
        <w:rPr>
          <w:rFonts w:ascii="Times New Roman" w:hAnsi="Times New Roman" w:cs="Times New Roman"/>
          <w:sz w:val="24"/>
        </w:rPr>
        <w:t xml:space="preserve"> rules </w:t>
      </w:r>
      <w:r>
        <w:rPr>
          <w:rFonts w:ascii="Times New Roman" w:hAnsi="Times New Roman" w:cs="Times New Roman"/>
          <w:sz w:val="24"/>
        </w:rPr>
        <w:t>provides for the procedure of taking a plea in bar, exception and motion to strike out.  The rule provides as follows:</w:t>
      </w:r>
    </w:p>
    <w:p w:rsidR="00A96DD6" w:rsidRPr="00A33B27" w:rsidRDefault="00A96DD6" w:rsidP="00DA6095">
      <w:pPr>
        <w:spacing w:line="240" w:lineRule="auto"/>
        <w:contextualSpacing/>
        <w:jc w:val="both"/>
        <w:rPr>
          <w:rFonts w:ascii="Times New Roman" w:hAnsi="Times New Roman" w:cs="Times New Roman"/>
          <w:i/>
          <w:sz w:val="24"/>
        </w:rPr>
      </w:pPr>
      <w:r>
        <w:rPr>
          <w:rFonts w:ascii="Times New Roman" w:hAnsi="Times New Roman" w:cs="Times New Roman"/>
          <w:sz w:val="24"/>
        </w:rPr>
        <w:tab/>
      </w:r>
      <w:r w:rsidR="00DA6095" w:rsidRPr="00A33B27">
        <w:rPr>
          <w:rFonts w:ascii="Times New Roman" w:hAnsi="Times New Roman" w:cs="Times New Roman"/>
          <w:i/>
          <w:sz w:val="24"/>
        </w:rPr>
        <w:t>“</w:t>
      </w:r>
      <w:r w:rsidRPr="00A33B27">
        <w:rPr>
          <w:rFonts w:ascii="Times New Roman" w:hAnsi="Times New Roman" w:cs="Times New Roman"/>
          <w:i/>
          <w:sz w:val="24"/>
        </w:rPr>
        <w:t>(1)</w:t>
      </w:r>
      <w:r w:rsidRPr="00A33B27">
        <w:rPr>
          <w:rFonts w:ascii="Times New Roman" w:hAnsi="Times New Roman" w:cs="Times New Roman"/>
          <w:i/>
          <w:sz w:val="24"/>
        </w:rPr>
        <w:tab/>
        <w:t>A party may—</w:t>
      </w:r>
    </w:p>
    <w:p w:rsidR="004805EE" w:rsidRPr="00A33B27" w:rsidRDefault="00014D1B" w:rsidP="00DA6095">
      <w:pPr>
        <w:spacing w:line="240" w:lineRule="auto"/>
        <w:ind w:left="720" w:hanging="720"/>
        <w:contextualSpacing/>
        <w:jc w:val="both"/>
        <w:rPr>
          <w:rFonts w:ascii="Times New Roman" w:hAnsi="Times New Roman" w:cs="Times New Roman"/>
          <w:i/>
          <w:sz w:val="24"/>
        </w:rPr>
      </w:pPr>
      <w:r w:rsidRPr="00A33B27">
        <w:rPr>
          <w:rFonts w:ascii="Times New Roman" w:hAnsi="Times New Roman" w:cs="Times New Roman"/>
          <w:i/>
          <w:sz w:val="24"/>
        </w:rPr>
        <w:tab/>
        <w:t>(a)</w:t>
      </w:r>
      <w:r w:rsidRPr="00A33B27">
        <w:rPr>
          <w:rFonts w:ascii="Times New Roman" w:hAnsi="Times New Roman" w:cs="Times New Roman"/>
          <w:i/>
          <w:sz w:val="24"/>
        </w:rPr>
        <w:tab/>
      </w:r>
      <w:r w:rsidR="003B4A02" w:rsidRPr="00A33B27">
        <w:rPr>
          <w:rFonts w:ascii="Times New Roman" w:hAnsi="Times New Roman" w:cs="Times New Roman"/>
          <w:i/>
          <w:sz w:val="24"/>
        </w:rPr>
        <w:t>t</w:t>
      </w:r>
      <w:r w:rsidRPr="00A33B27">
        <w:rPr>
          <w:rFonts w:ascii="Times New Roman" w:hAnsi="Times New Roman" w:cs="Times New Roman"/>
          <w:i/>
          <w:sz w:val="24"/>
        </w:rPr>
        <w:t xml:space="preserve">ake a plea in bar or in abatement where the matter is of substance which does </w:t>
      </w:r>
    </w:p>
    <w:p w:rsidR="00014D1B" w:rsidRPr="00A33B27" w:rsidRDefault="00D70511" w:rsidP="00DA6095">
      <w:pPr>
        <w:spacing w:line="240" w:lineRule="auto"/>
        <w:ind w:left="1440"/>
        <w:contextualSpacing/>
        <w:jc w:val="both"/>
        <w:rPr>
          <w:rFonts w:ascii="Times New Roman" w:hAnsi="Times New Roman" w:cs="Times New Roman"/>
          <w:i/>
          <w:sz w:val="24"/>
        </w:rPr>
      </w:pPr>
      <w:r w:rsidRPr="00A33B27">
        <w:rPr>
          <w:rFonts w:ascii="Times New Roman" w:hAnsi="Times New Roman" w:cs="Times New Roman"/>
          <w:i/>
          <w:sz w:val="24"/>
        </w:rPr>
        <w:t>not in</w:t>
      </w:r>
      <w:r w:rsidR="00014D1B" w:rsidRPr="00A33B27">
        <w:rPr>
          <w:rFonts w:ascii="Times New Roman" w:hAnsi="Times New Roman" w:cs="Times New Roman"/>
          <w:i/>
          <w:sz w:val="24"/>
        </w:rPr>
        <w:t>volve going into the merits of the case and</w:t>
      </w:r>
      <w:r w:rsidR="004E5423" w:rsidRPr="00A33B27">
        <w:rPr>
          <w:rFonts w:ascii="Times New Roman" w:hAnsi="Times New Roman" w:cs="Times New Roman"/>
          <w:i/>
          <w:sz w:val="24"/>
        </w:rPr>
        <w:t xml:space="preserve"> which, if allowed, will dispose</w:t>
      </w:r>
      <w:r w:rsidR="00014D1B" w:rsidRPr="00A33B27">
        <w:rPr>
          <w:rFonts w:ascii="Times New Roman" w:hAnsi="Times New Roman" w:cs="Times New Roman"/>
          <w:i/>
          <w:sz w:val="24"/>
        </w:rPr>
        <w:t xml:space="preserve"> of the case;</w:t>
      </w:r>
    </w:p>
    <w:p w:rsidR="00014D1B" w:rsidRPr="00A33B27" w:rsidRDefault="00014D1B" w:rsidP="00DA6095">
      <w:pPr>
        <w:spacing w:line="240" w:lineRule="auto"/>
        <w:ind w:left="1440" w:hanging="720"/>
        <w:contextualSpacing/>
        <w:jc w:val="both"/>
        <w:rPr>
          <w:rFonts w:ascii="Times New Roman" w:hAnsi="Times New Roman" w:cs="Times New Roman"/>
          <w:i/>
          <w:sz w:val="24"/>
        </w:rPr>
      </w:pPr>
      <w:r w:rsidRPr="00A33B27">
        <w:rPr>
          <w:rFonts w:ascii="Times New Roman" w:hAnsi="Times New Roman" w:cs="Times New Roman"/>
          <w:i/>
          <w:sz w:val="24"/>
        </w:rPr>
        <w:t>(b)</w:t>
      </w:r>
      <w:r w:rsidRPr="00A33B27">
        <w:rPr>
          <w:rFonts w:ascii="Times New Roman" w:hAnsi="Times New Roman" w:cs="Times New Roman"/>
          <w:i/>
          <w:sz w:val="24"/>
        </w:rPr>
        <w:tab/>
        <w:t>except to the pleading or to single paragraphs thereof if they embody separate causes of action or defence as the case may be,</w:t>
      </w:r>
    </w:p>
    <w:p w:rsidR="00014D1B" w:rsidRPr="00A33B27" w:rsidRDefault="00014D1B" w:rsidP="00DA6095">
      <w:pPr>
        <w:spacing w:line="240" w:lineRule="auto"/>
        <w:ind w:left="1440" w:hanging="720"/>
        <w:contextualSpacing/>
        <w:jc w:val="both"/>
        <w:rPr>
          <w:rFonts w:ascii="Times New Roman" w:hAnsi="Times New Roman" w:cs="Times New Roman"/>
          <w:i/>
          <w:sz w:val="24"/>
        </w:rPr>
      </w:pPr>
      <w:r w:rsidRPr="00A33B27">
        <w:rPr>
          <w:rFonts w:ascii="Times New Roman" w:hAnsi="Times New Roman" w:cs="Times New Roman"/>
          <w:i/>
          <w:sz w:val="24"/>
        </w:rPr>
        <w:t>(c)</w:t>
      </w:r>
      <w:r w:rsidRPr="00A33B27">
        <w:rPr>
          <w:rFonts w:ascii="Times New Roman" w:hAnsi="Times New Roman" w:cs="Times New Roman"/>
          <w:i/>
          <w:sz w:val="24"/>
        </w:rPr>
        <w:tab/>
        <w:t>apply to strike at any paragraphs of the pleading which should be properly struck out;</w:t>
      </w:r>
    </w:p>
    <w:p w:rsidR="00014D1B" w:rsidRPr="00A33B27" w:rsidRDefault="00014D1B" w:rsidP="00DA6095">
      <w:pPr>
        <w:spacing w:line="240" w:lineRule="auto"/>
        <w:ind w:left="1440" w:hanging="720"/>
        <w:contextualSpacing/>
        <w:jc w:val="both"/>
        <w:rPr>
          <w:rFonts w:ascii="Times New Roman" w:hAnsi="Times New Roman" w:cs="Times New Roman"/>
          <w:i/>
          <w:sz w:val="24"/>
        </w:rPr>
      </w:pPr>
      <w:r w:rsidRPr="00A33B27">
        <w:rPr>
          <w:rFonts w:ascii="Times New Roman" w:hAnsi="Times New Roman" w:cs="Times New Roman"/>
          <w:i/>
          <w:sz w:val="24"/>
        </w:rPr>
        <w:t>(d)</w:t>
      </w:r>
      <w:r w:rsidRPr="00A33B27">
        <w:rPr>
          <w:rFonts w:ascii="Times New Roman" w:hAnsi="Times New Roman" w:cs="Times New Roman"/>
          <w:i/>
          <w:sz w:val="24"/>
        </w:rPr>
        <w:tab/>
        <w:t xml:space="preserve">apply for a further and better statement of the nature of the claim or defence or for further and better particulars of any matter stated in </w:t>
      </w:r>
      <w:r w:rsidR="00DA6095" w:rsidRPr="00A33B27">
        <w:rPr>
          <w:rFonts w:ascii="Times New Roman" w:hAnsi="Times New Roman" w:cs="Times New Roman"/>
          <w:i/>
          <w:sz w:val="24"/>
        </w:rPr>
        <w:t xml:space="preserve">any </w:t>
      </w:r>
      <w:r w:rsidRPr="00A33B27">
        <w:rPr>
          <w:rFonts w:ascii="Times New Roman" w:hAnsi="Times New Roman" w:cs="Times New Roman"/>
          <w:i/>
          <w:sz w:val="24"/>
        </w:rPr>
        <w:t>pleading, notice or written proceeding requiring particulars.</w:t>
      </w:r>
    </w:p>
    <w:p w:rsidR="00014D1B" w:rsidRPr="00A33B27" w:rsidRDefault="00014D1B" w:rsidP="00DA6095">
      <w:pPr>
        <w:spacing w:line="240" w:lineRule="auto"/>
        <w:ind w:left="1440" w:hanging="720"/>
        <w:contextualSpacing/>
        <w:jc w:val="both"/>
        <w:rPr>
          <w:rFonts w:ascii="Times New Roman" w:hAnsi="Times New Roman" w:cs="Times New Roman"/>
          <w:i/>
          <w:sz w:val="24"/>
        </w:rPr>
      </w:pPr>
      <w:r w:rsidRPr="00A33B27">
        <w:rPr>
          <w:rFonts w:ascii="Times New Roman" w:hAnsi="Times New Roman" w:cs="Times New Roman"/>
          <w:i/>
          <w:sz w:val="24"/>
        </w:rPr>
        <w:t>(2)</w:t>
      </w:r>
      <w:r w:rsidRPr="00A33B27">
        <w:rPr>
          <w:rFonts w:ascii="Times New Roman" w:hAnsi="Times New Roman" w:cs="Times New Roman"/>
          <w:i/>
          <w:sz w:val="24"/>
        </w:rPr>
        <w:tab/>
        <w:t>A plea in a bar or abatement, exception, application to struck out or application for particulars shall be in the form of such part of Form 12 as may be appropriate mutatis mutandis, and a copy thereof filed with the registrar.  In the case of an application for particulars, a copy of the reply received to it</w:t>
      </w:r>
      <w:r w:rsidR="00E965FE" w:rsidRPr="00A33B27">
        <w:rPr>
          <w:rFonts w:ascii="Times New Roman" w:hAnsi="Times New Roman" w:cs="Times New Roman"/>
          <w:i/>
          <w:sz w:val="24"/>
        </w:rPr>
        <w:t xml:space="preserve"> shall also be filed.”</w:t>
      </w:r>
    </w:p>
    <w:p w:rsidR="00DA6095" w:rsidRPr="00A33B27" w:rsidRDefault="00DA6095" w:rsidP="00DA6095">
      <w:pPr>
        <w:spacing w:line="240" w:lineRule="auto"/>
        <w:ind w:left="1440" w:hanging="720"/>
        <w:contextualSpacing/>
        <w:jc w:val="both"/>
        <w:rPr>
          <w:rFonts w:ascii="Times New Roman" w:hAnsi="Times New Roman" w:cs="Times New Roman"/>
          <w:i/>
          <w:sz w:val="24"/>
        </w:rPr>
      </w:pPr>
    </w:p>
    <w:p w:rsidR="00E965FE" w:rsidRDefault="00E965FE" w:rsidP="00A96DD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An application to strike out, just like an exception and special plea must be in Form 12.   A court application to strike out is accordingly </w:t>
      </w:r>
      <w:r w:rsidR="00DA6095" w:rsidRPr="00DA6095">
        <w:rPr>
          <w:rFonts w:ascii="Times New Roman" w:hAnsi="Times New Roman" w:cs="Times New Roman"/>
          <w:i/>
          <w:sz w:val="24"/>
        </w:rPr>
        <w:t>s</w:t>
      </w:r>
      <w:r w:rsidR="00D17642" w:rsidRPr="00DA6095">
        <w:rPr>
          <w:rFonts w:ascii="Times New Roman" w:hAnsi="Times New Roman" w:cs="Times New Roman"/>
          <w:i/>
          <w:sz w:val="24"/>
        </w:rPr>
        <w:t>ui</w:t>
      </w:r>
      <w:r w:rsidR="00681A5A">
        <w:rPr>
          <w:rFonts w:ascii="Times New Roman" w:hAnsi="Times New Roman" w:cs="Times New Roman"/>
          <w:i/>
          <w:sz w:val="24"/>
        </w:rPr>
        <w:t xml:space="preserve"> </w:t>
      </w:r>
      <w:r w:rsidR="00D17642" w:rsidRPr="00DA6095">
        <w:rPr>
          <w:rFonts w:ascii="Times New Roman" w:hAnsi="Times New Roman" w:cs="Times New Roman"/>
          <w:i/>
          <w:sz w:val="24"/>
        </w:rPr>
        <w:t>generis.</w:t>
      </w:r>
      <w:r w:rsidR="00D17642">
        <w:rPr>
          <w:rFonts w:ascii="Times New Roman" w:hAnsi="Times New Roman" w:cs="Times New Roman"/>
          <w:sz w:val="24"/>
        </w:rPr>
        <w:t xml:space="preserve">  I am therefore</w:t>
      </w:r>
      <w:r w:rsidR="008E1D3A">
        <w:rPr>
          <w:rFonts w:ascii="Times New Roman" w:hAnsi="Times New Roman" w:cs="Times New Roman"/>
          <w:sz w:val="24"/>
        </w:rPr>
        <w:t>,</w:t>
      </w:r>
      <w:r w:rsidR="00D17642">
        <w:rPr>
          <w:rFonts w:ascii="Times New Roman" w:hAnsi="Times New Roman" w:cs="Times New Roman"/>
          <w:sz w:val="24"/>
        </w:rPr>
        <w:t xml:space="preserve"> not persuaded that the application to strike out does not comply with the rules.  The rules mandate the use of Form 12.  </w:t>
      </w:r>
      <w:r w:rsidR="00D17642">
        <w:rPr>
          <w:rFonts w:ascii="Times New Roman" w:hAnsi="Times New Roman" w:cs="Times New Roman"/>
          <w:sz w:val="24"/>
        </w:rPr>
        <w:lastRenderedPageBreak/>
        <w:t xml:space="preserve">In any event, it is open to this court to have recourse to rule 4(c).  This permits a departure from any provision of the rules where the court or judge is satisfied that the departure is required in the interests of justice.  See </w:t>
      </w:r>
      <w:r w:rsidR="00D17642" w:rsidRPr="004805EE">
        <w:rPr>
          <w:rFonts w:ascii="Times New Roman" w:hAnsi="Times New Roman" w:cs="Times New Roman"/>
          <w:i/>
          <w:sz w:val="24"/>
        </w:rPr>
        <w:t>Wilmot</w:t>
      </w:r>
      <w:r w:rsidR="00D17642">
        <w:rPr>
          <w:rFonts w:ascii="Times New Roman" w:hAnsi="Times New Roman" w:cs="Times New Roman"/>
          <w:sz w:val="24"/>
        </w:rPr>
        <w:t xml:space="preserve"> v </w:t>
      </w:r>
      <w:r w:rsidR="00D17642" w:rsidRPr="004805EE">
        <w:rPr>
          <w:rFonts w:ascii="Times New Roman" w:hAnsi="Times New Roman" w:cs="Times New Roman"/>
          <w:i/>
          <w:sz w:val="24"/>
        </w:rPr>
        <w:t>Zimbabwe Owner Driver Organisation (Pvt) Ltd</w:t>
      </w:r>
      <w:r w:rsidR="00D17642">
        <w:rPr>
          <w:rFonts w:ascii="Times New Roman" w:hAnsi="Times New Roman" w:cs="Times New Roman"/>
          <w:sz w:val="24"/>
        </w:rPr>
        <w:t xml:space="preserve"> 1996 (2) ZLR 415 (S) at page 419.</w:t>
      </w:r>
    </w:p>
    <w:p w:rsidR="00080FB3" w:rsidRDefault="00080FB3" w:rsidP="00A96DD6">
      <w:pPr>
        <w:spacing w:line="360" w:lineRule="auto"/>
        <w:contextualSpacing/>
        <w:jc w:val="both"/>
        <w:rPr>
          <w:rFonts w:ascii="Times New Roman" w:hAnsi="Times New Roman" w:cs="Times New Roman"/>
          <w:sz w:val="24"/>
        </w:rPr>
      </w:pPr>
      <w:r>
        <w:rPr>
          <w:rFonts w:ascii="Times New Roman" w:hAnsi="Times New Roman" w:cs="Times New Roman"/>
          <w:sz w:val="24"/>
        </w:rPr>
        <w:tab/>
        <w:t>The plaintiff prays that the ap</w:t>
      </w:r>
      <w:r w:rsidR="00E23F72">
        <w:rPr>
          <w:rFonts w:ascii="Times New Roman" w:hAnsi="Times New Roman" w:cs="Times New Roman"/>
          <w:sz w:val="24"/>
        </w:rPr>
        <w:t>plication to strike out be dismi</w:t>
      </w:r>
      <w:r>
        <w:rPr>
          <w:rFonts w:ascii="Times New Roman" w:hAnsi="Times New Roman" w:cs="Times New Roman"/>
          <w:sz w:val="24"/>
        </w:rPr>
        <w:t xml:space="preserve">ssed with costs.  In the same breath the plaintiff moves for the amendments to the declaration to be allowed with costs.  This appears odd.  The amendments referred to by the plaintiff were filed without the leave of the court.  There was no consent from the defendants.  The amendment purports to amend the entire declaration.  The amendments filed by the plaintiff are not properly before the court.  In </w:t>
      </w:r>
      <w:r w:rsidR="00955F42">
        <w:rPr>
          <w:rFonts w:ascii="Times New Roman" w:hAnsi="Times New Roman" w:cs="Times New Roman"/>
          <w:i/>
          <w:sz w:val="24"/>
        </w:rPr>
        <w:t>ZFC</w:t>
      </w:r>
      <w:r w:rsidRPr="004805EE">
        <w:rPr>
          <w:rFonts w:ascii="Times New Roman" w:hAnsi="Times New Roman" w:cs="Times New Roman"/>
          <w:i/>
          <w:sz w:val="24"/>
        </w:rPr>
        <w:t xml:space="preserve"> Ltd</w:t>
      </w:r>
      <w:r>
        <w:rPr>
          <w:rFonts w:ascii="Times New Roman" w:hAnsi="Times New Roman" w:cs="Times New Roman"/>
          <w:sz w:val="24"/>
        </w:rPr>
        <w:t xml:space="preserve"> v </w:t>
      </w:r>
      <w:r w:rsidRPr="004805EE">
        <w:rPr>
          <w:rFonts w:ascii="Times New Roman" w:hAnsi="Times New Roman" w:cs="Times New Roman"/>
          <w:i/>
          <w:sz w:val="24"/>
        </w:rPr>
        <w:t>Taylor</w:t>
      </w:r>
      <w:r>
        <w:rPr>
          <w:rFonts w:ascii="Times New Roman" w:hAnsi="Times New Roman" w:cs="Times New Roman"/>
          <w:sz w:val="24"/>
        </w:rPr>
        <w:t xml:space="preserve"> 1999 (1) ZLR 308 (H), the learned judge remarked thus: (page 310).</w:t>
      </w:r>
    </w:p>
    <w:p w:rsidR="00080FB3" w:rsidRPr="009E6B84" w:rsidRDefault="00080FB3" w:rsidP="00FF5C58">
      <w:pPr>
        <w:spacing w:line="240" w:lineRule="auto"/>
        <w:ind w:left="720"/>
        <w:contextualSpacing/>
        <w:jc w:val="both"/>
        <w:rPr>
          <w:rFonts w:ascii="Times New Roman" w:hAnsi="Times New Roman" w:cs="Times New Roman"/>
          <w:i/>
          <w:sz w:val="24"/>
        </w:rPr>
      </w:pPr>
      <w:r>
        <w:rPr>
          <w:rFonts w:ascii="Times New Roman" w:hAnsi="Times New Roman" w:cs="Times New Roman"/>
          <w:sz w:val="24"/>
        </w:rPr>
        <w:t>“</w:t>
      </w:r>
      <w:r w:rsidRPr="009E6B84">
        <w:rPr>
          <w:rFonts w:ascii="Times New Roman" w:hAnsi="Times New Roman" w:cs="Times New Roman"/>
          <w:i/>
          <w:sz w:val="24"/>
        </w:rPr>
        <w:t>Although the point</w:t>
      </w:r>
      <w:r w:rsidR="00F54FE3" w:rsidRPr="009E6B84">
        <w:rPr>
          <w:rFonts w:ascii="Times New Roman" w:hAnsi="Times New Roman" w:cs="Times New Roman"/>
          <w:i/>
          <w:sz w:val="24"/>
        </w:rPr>
        <w:t xml:space="preserve"> does not</w:t>
      </w:r>
      <w:r w:rsidRPr="009E6B84">
        <w:rPr>
          <w:rFonts w:ascii="Times New Roman" w:hAnsi="Times New Roman" w:cs="Times New Roman"/>
          <w:i/>
          <w:sz w:val="24"/>
        </w:rPr>
        <w:t xml:space="preserve"> arise in this case, a few remarks concerning the amendment</w:t>
      </w:r>
      <w:r>
        <w:rPr>
          <w:rFonts w:ascii="Times New Roman" w:hAnsi="Times New Roman" w:cs="Times New Roman"/>
          <w:sz w:val="24"/>
        </w:rPr>
        <w:t xml:space="preserve"> </w:t>
      </w:r>
      <w:r w:rsidRPr="009E6B84">
        <w:rPr>
          <w:rFonts w:ascii="Times New Roman" w:hAnsi="Times New Roman" w:cs="Times New Roman"/>
          <w:i/>
          <w:sz w:val="24"/>
        </w:rPr>
        <w:t xml:space="preserve">of the claim would not be out of place.  There is a practice prevalent, born of indolence and ignorance of the rules, whereby parties purport to effect an amendment of process and </w:t>
      </w:r>
      <w:r w:rsidR="00A76E62" w:rsidRPr="009E6B84">
        <w:rPr>
          <w:rFonts w:ascii="Times New Roman" w:hAnsi="Times New Roman" w:cs="Times New Roman"/>
          <w:i/>
          <w:sz w:val="24"/>
        </w:rPr>
        <w:t>pleadings</w:t>
      </w:r>
      <w:r w:rsidRPr="009E6B84">
        <w:rPr>
          <w:rFonts w:ascii="Times New Roman" w:hAnsi="Times New Roman" w:cs="Times New Roman"/>
          <w:i/>
          <w:sz w:val="24"/>
        </w:rPr>
        <w:t xml:space="preserve"> by the unilateral issue of a so-called “notice of amendment”.  One frequently finds in applications for default judgments that such notices have been issued after the default or bar, as the case may be</w:t>
      </w:r>
      <w:r w:rsidR="00A76E62" w:rsidRPr="009E6B84">
        <w:rPr>
          <w:rFonts w:ascii="Times New Roman" w:hAnsi="Times New Roman" w:cs="Times New Roman"/>
          <w:i/>
          <w:sz w:val="24"/>
        </w:rPr>
        <w:t xml:space="preserve">, and are not even served upon the defendant.  This is entirely </w:t>
      </w:r>
      <w:proofErr w:type="spellStart"/>
      <w:r w:rsidR="00A76E62" w:rsidRPr="009E6B84">
        <w:rPr>
          <w:rFonts w:ascii="Times New Roman" w:hAnsi="Times New Roman" w:cs="Times New Roman"/>
          <w:i/>
          <w:sz w:val="24"/>
        </w:rPr>
        <w:t>unprocedural</w:t>
      </w:r>
      <w:proofErr w:type="spellEnd"/>
      <w:r w:rsidR="00A76E62" w:rsidRPr="009E6B84">
        <w:rPr>
          <w:rFonts w:ascii="Times New Roman" w:hAnsi="Times New Roman" w:cs="Times New Roman"/>
          <w:i/>
          <w:sz w:val="24"/>
        </w:rPr>
        <w:t>.</w:t>
      </w:r>
    </w:p>
    <w:p w:rsidR="00FF5C58" w:rsidRDefault="00FF5C58" w:rsidP="00FF5C58">
      <w:pPr>
        <w:spacing w:line="240" w:lineRule="auto"/>
        <w:ind w:left="720"/>
        <w:contextualSpacing/>
        <w:jc w:val="both"/>
        <w:rPr>
          <w:rFonts w:ascii="Times New Roman" w:hAnsi="Times New Roman" w:cs="Times New Roman"/>
          <w:sz w:val="24"/>
        </w:rPr>
      </w:pPr>
    </w:p>
    <w:p w:rsidR="00A76E62" w:rsidRPr="00C444F2" w:rsidRDefault="00A76E62" w:rsidP="00FF5C58">
      <w:pPr>
        <w:spacing w:line="240" w:lineRule="auto"/>
        <w:ind w:left="720"/>
        <w:contextualSpacing/>
        <w:jc w:val="both"/>
        <w:rPr>
          <w:rFonts w:ascii="Times New Roman" w:hAnsi="Times New Roman" w:cs="Times New Roman"/>
          <w:i/>
          <w:sz w:val="24"/>
        </w:rPr>
      </w:pPr>
      <w:r w:rsidRPr="00C444F2">
        <w:rPr>
          <w:rFonts w:ascii="Times New Roman" w:hAnsi="Times New Roman" w:cs="Times New Roman"/>
          <w:i/>
          <w:sz w:val="24"/>
        </w:rPr>
        <w:t>There are only two possible methods of procuring an amendment</w:t>
      </w:r>
      <w:r>
        <w:rPr>
          <w:rFonts w:ascii="Times New Roman" w:hAnsi="Times New Roman" w:cs="Times New Roman"/>
          <w:sz w:val="24"/>
        </w:rPr>
        <w:t xml:space="preserve"> to process or pleading </w:t>
      </w:r>
      <w:r w:rsidRPr="00C444F2">
        <w:rPr>
          <w:rFonts w:ascii="Times New Roman" w:hAnsi="Times New Roman" w:cs="Times New Roman"/>
          <w:i/>
          <w:sz w:val="24"/>
        </w:rPr>
        <w:t>after the issue of summons.  One is by consent of the parties and the other by the order of this court.”</w:t>
      </w:r>
    </w:p>
    <w:p w:rsidR="00FF5C58" w:rsidRDefault="00FF5C58" w:rsidP="00FF5C58">
      <w:pPr>
        <w:spacing w:line="240" w:lineRule="auto"/>
        <w:ind w:left="720"/>
        <w:contextualSpacing/>
        <w:jc w:val="both"/>
        <w:rPr>
          <w:rFonts w:ascii="Times New Roman" w:hAnsi="Times New Roman" w:cs="Times New Roman"/>
          <w:sz w:val="24"/>
        </w:rPr>
      </w:pPr>
    </w:p>
    <w:p w:rsidR="00A76E62" w:rsidRDefault="00A76E62" w:rsidP="00A96DD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effect therefore, the basis of the application to strike out relates to the original summons and declaration.  The court must proceed on the basis that any </w:t>
      </w:r>
      <w:r w:rsidR="004105F8">
        <w:rPr>
          <w:rFonts w:ascii="Times New Roman" w:hAnsi="Times New Roman" w:cs="Times New Roman"/>
          <w:sz w:val="24"/>
        </w:rPr>
        <w:t>amendment of the declaration must</w:t>
      </w:r>
      <w:r>
        <w:rPr>
          <w:rFonts w:ascii="Times New Roman" w:hAnsi="Times New Roman" w:cs="Times New Roman"/>
          <w:sz w:val="24"/>
        </w:rPr>
        <w:t xml:space="preserve"> be in terms of an order of this court.  The implications are clear.  The application for an order to strike out the offending paragraphs must be allowed.  The application to strike out must therefore succeed.  The plaintiff may then effect their amendments in accordance with the rules of court.  This seems to me to be the only plausible method of resolving the application to strike out.</w:t>
      </w:r>
    </w:p>
    <w:p w:rsidR="00A76E62" w:rsidRDefault="00A76E62" w:rsidP="00A96DD6">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A76E62" w:rsidRPr="00993771" w:rsidRDefault="00A76E62" w:rsidP="00A96DD6">
      <w:pPr>
        <w:spacing w:line="360" w:lineRule="auto"/>
        <w:contextualSpacing/>
        <w:jc w:val="both"/>
        <w:rPr>
          <w:rFonts w:ascii="Times New Roman" w:hAnsi="Times New Roman" w:cs="Times New Roman"/>
          <w:b/>
          <w:sz w:val="24"/>
          <w:u w:val="single"/>
        </w:rPr>
      </w:pPr>
      <w:r w:rsidRPr="00993771">
        <w:rPr>
          <w:rFonts w:ascii="Times New Roman" w:hAnsi="Times New Roman" w:cs="Times New Roman"/>
          <w:b/>
          <w:sz w:val="24"/>
          <w:u w:val="single"/>
        </w:rPr>
        <w:t>The special plea</w:t>
      </w:r>
    </w:p>
    <w:p w:rsidR="00A76E62" w:rsidRDefault="00A76E62" w:rsidP="00A96DD6">
      <w:pPr>
        <w:spacing w:line="360" w:lineRule="auto"/>
        <w:contextualSpacing/>
        <w:jc w:val="both"/>
        <w:rPr>
          <w:rFonts w:ascii="Times New Roman" w:hAnsi="Times New Roman" w:cs="Times New Roman"/>
          <w:sz w:val="24"/>
        </w:rPr>
      </w:pPr>
      <w:r>
        <w:rPr>
          <w:rFonts w:ascii="Times New Roman" w:hAnsi="Times New Roman" w:cs="Times New Roman"/>
          <w:sz w:val="24"/>
        </w:rPr>
        <w:t>The defendants have taken the point, in the special plea, that 4</w:t>
      </w:r>
      <w:r w:rsidRPr="00A76E62">
        <w:rPr>
          <w:rFonts w:ascii="Times New Roman" w:hAnsi="Times New Roman" w:cs="Times New Roman"/>
          <w:sz w:val="24"/>
          <w:vertAlign w:val="superscript"/>
        </w:rPr>
        <w:t>th</w:t>
      </w:r>
      <w:r>
        <w:rPr>
          <w:rFonts w:ascii="Times New Roman" w:hAnsi="Times New Roman" w:cs="Times New Roman"/>
          <w:sz w:val="24"/>
        </w:rPr>
        <w:t xml:space="preserve"> defendant has no legal personality.  This point is taken on the grounds that the fourth defendant is a branch of the </w:t>
      </w:r>
      <w:r>
        <w:rPr>
          <w:rFonts w:ascii="Times New Roman" w:hAnsi="Times New Roman" w:cs="Times New Roman"/>
          <w:sz w:val="24"/>
        </w:rPr>
        <w:lastRenderedPageBreak/>
        <w:t xml:space="preserve">Seventh Day Adventist Church.  There is nothing </w:t>
      </w:r>
      <w:proofErr w:type="gramStart"/>
      <w:r>
        <w:rPr>
          <w:rFonts w:ascii="Times New Roman" w:hAnsi="Times New Roman" w:cs="Times New Roman"/>
          <w:sz w:val="24"/>
        </w:rPr>
        <w:t>further</w:t>
      </w:r>
      <w:r w:rsidR="009972F3">
        <w:rPr>
          <w:rFonts w:ascii="Times New Roman" w:hAnsi="Times New Roman" w:cs="Times New Roman"/>
          <w:sz w:val="24"/>
        </w:rPr>
        <w:t xml:space="preserve"> </w:t>
      </w:r>
      <w:r>
        <w:rPr>
          <w:rFonts w:ascii="Times New Roman" w:hAnsi="Times New Roman" w:cs="Times New Roman"/>
          <w:sz w:val="24"/>
        </w:rPr>
        <w:t xml:space="preserve"> laid</w:t>
      </w:r>
      <w:proofErr w:type="gramEnd"/>
      <w:r>
        <w:rPr>
          <w:rFonts w:ascii="Times New Roman" w:hAnsi="Times New Roman" w:cs="Times New Roman"/>
          <w:sz w:val="24"/>
        </w:rPr>
        <w:t xml:space="preserve"> before the court in support of the special plea.  The argument seems to be that because fourth defendant is a branch of the church it naturally has no </w:t>
      </w:r>
      <w:r w:rsidR="00834801">
        <w:rPr>
          <w:rFonts w:ascii="Times New Roman" w:hAnsi="Times New Roman" w:cs="Times New Roman"/>
          <w:sz w:val="24"/>
        </w:rPr>
        <w:t>legal</w:t>
      </w:r>
      <w:r>
        <w:rPr>
          <w:rFonts w:ascii="Times New Roman" w:hAnsi="Times New Roman" w:cs="Times New Roman"/>
          <w:sz w:val="24"/>
        </w:rPr>
        <w:t xml:space="preserve"> personality.  No reference is made to the church manual in support </w:t>
      </w:r>
      <w:r w:rsidR="00834801">
        <w:rPr>
          <w:rFonts w:ascii="Times New Roman" w:hAnsi="Times New Roman" w:cs="Times New Roman"/>
          <w:sz w:val="24"/>
        </w:rPr>
        <w:t>of</w:t>
      </w:r>
      <w:r>
        <w:rPr>
          <w:rFonts w:ascii="Times New Roman" w:hAnsi="Times New Roman" w:cs="Times New Roman"/>
          <w:sz w:val="24"/>
        </w:rPr>
        <w:t xml:space="preserve"> the contention.  The court is alive to the fact the onus rests up</w:t>
      </w:r>
      <w:r w:rsidR="003D648B">
        <w:rPr>
          <w:rFonts w:ascii="Times New Roman" w:hAnsi="Times New Roman" w:cs="Times New Roman"/>
          <w:sz w:val="24"/>
        </w:rPr>
        <w:t>on the defendant who makes the assertion to prove it.</w:t>
      </w:r>
      <w:r>
        <w:rPr>
          <w:rFonts w:ascii="Times New Roman" w:hAnsi="Times New Roman" w:cs="Times New Roman"/>
          <w:sz w:val="24"/>
        </w:rPr>
        <w:t xml:space="preserve">  It is my </w:t>
      </w:r>
      <w:proofErr w:type="gramStart"/>
      <w:r>
        <w:rPr>
          <w:rFonts w:ascii="Times New Roman" w:hAnsi="Times New Roman" w:cs="Times New Roman"/>
          <w:sz w:val="24"/>
        </w:rPr>
        <w:t>view</w:t>
      </w:r>
      <w:r w:rsidR="00DF4FA9">
        <w:rPr>
          <w:rFonts w:ascii="Times New Roman" w:hAnsi="Times New Roman" w:cs="Times New Roman"/>
          <w:sz w:val="24"/>
        </w:rPr>
        <w:t>,</w:t>
      </w:r>
      <w:r w:rsidR="00863E11">
        <w:rPr>
          <w:rFonts w:ascii="Times New Roman" w:hAnsi="Times New Roman" w:cs="Times New Roman"/>
          <w:sz w:val="24"/>
        </w:rPr>
        <w:t xml:space="preserve"> </w:t>
      </w:r>
      <w:r w:rsidR="00B23C2B">
        <w:rPr>
          <w:rFonts w:ascii="Times New Roman" w:hAnsi="Times New Roman" w:cs="Times New Roman"/>
          <w:sz w:val="24"/>
        </w:rPr>
        <w:t xml:space="preserve"> </w:t>
      </w:r>
      <w:r>
        <w:rPr>
          <w:rFonts w:ascii="Times New Roman" w:hAnsi="Times New Roman" w:cs="Times New Roman"/>
          <w:sz w:val="24"/>
        </w:rPr>
        <w:t>that</w:t>
      </w:r>
      <w:proofErr w:type="gramEnd"/>
      <w:r w:rsidR="00AC01D6">
        <w:rPr>
          <w:rFonts w:ascii="Times New Roman" w:hAnsi="Times New Roman" w:cs="Times New Roman"/>
          <w:sz w:val="24"/>
        </w:rPr>
        <w:t xml:space="preserve">  </w:t>
      </w:r>
      <w:r>
        <w:rPr>
          <w:rFonts w:ascii="Times New Roman" w:hAnsi="Times New Roman" w:cs="Times New Roman"/>
          <w:sz w:val="24"/>
        </w:rPr>
        <w:t xml:space="preserve"> in order for defendant’s special plea to be determined evidence would have to be led in court.  This </w:t>
      </w:r>
      <w:r w:rsidR="00671EFF">
        <w:rPr>
          <w:rFonts w:ascii="Times New Roman" w:hAnsi="Times New Roman" w:cs="Times New Roman"/>
          <w:sz w:val="24"/>
        </w:rPr>
        <w:t xml:space="preserve">court notes that the plaintiff is concerned that the hearing of the special plea before the trial </w:t>
      </w:r>
      <w:r w:rsidR="00ED4B7B">
        <w:rPr>
          <w:rFonts w:ascii="Times New Roman" w:hAnsi="Times New Roman" w:cs="Times New Roman"/>
          <w:sz w:val="24"/>
        </w:rPr>
        <w:t>would result in the duplication and elongation of proceedings.  This may be so</w:t>
      </w:r>
      <w:r w:rsidR="00752165">
        <w:rPr>
          <w:rFonts w:ascii="Times New Roman" w:hAnsi="Times New Roman" w:cs="Times New Roman"/>
          <w:sz w:val="24"/>
        </w:rPr>
        <w:t>,</w:t>
      </w:r>
      <w:r w:rsidR="00ED4B7B">
        <w:rPr>
          <w:rFonts w:ascii="Times New Roman" w:hAnsi="Times New Roman" w:cs="Times New Roman"/>
          <w:sz w:val="24"/>
        </w:rPr>
        <w:t xml:space="preserve"> but the court has </w:t>
      </w:r>
      <w:proofErr w:type="gramStart"/>
      <w:r w:rsidR="00ED4B7B">
        <w:rPr>
          <w:rFonts w:ascii="Times New Roman" w:hAnsi="Times New Roman" w:cs="Times New Roman"/>
          <w:sz w:val="24"/>
        </w:rPr>
        <w:t>a</w:t>
      </w:r>
      <w:r w:rsidR="001B746B">
        <w:rPr>
          <w:rFonts w:ascii="Times New Roman" w:hAnsi="Times New Roman" w:cs="Times New Roman"/>
          <w:sz w:val="24"/>
        </w:rPr>
        <w:t xml:space="preserve"> </w:t>
      </w:r>
      <w:r w:rsidR="00120C74">
        <w:rPr>
          <w:rFonts w:ascii="Times New Roman" w:hAnsi="Times New Roman" w:cs="Times New Roman"/>
          <w:sz w:val="24"/>
        </w:rPr>
        <w:t xml:space="preserve"> </w:t>
      </w:r>
      <w:r w:rsidR="00ED4B7B">
        <w:rPr>
          <w:rFonts w:ascii="Times New Roman" w:hAnsi="Times New Roman" w:cs="Times New Roman"/>
          <w:sz w:val="24"/>
        </w:rPr>
        <w:t>discretion</w:t>
      </w:r>
      <w:proofErr w:type="gramEnd"/>
      <w:r w:rsidR="00B65552">
        <w:rPr>
          <w:rFonts w:ascii="Times New Roman" w:hAnsi="Times New Roman" w:cs="Times New Roman"/>
          <w:sz w:val="24"/>
        </w:rPr>
        <w:t xml:space="preserve"> </w:t>
      </w:r>
      <w:r w:rsidR="00ED4B7B">
        <w:rPr>
          <w:rFonts w:ascii="Times New Roman" w:hAnsi="Times New Roman" w:cs="Times New Roman"/>
          <w:sz w:val="24"/>
        </w:rPr>
        <w:t xml:space="preserve"> on the matter.   The court must in the end decide whether the special plea must be determined first, before the </w:t>
      </w:r>
      <w:r w:rsidR="00E41188">
        <w:rPr>
          <w:rFonts w:ascii="Times New Roman" w:hAnsi="Times New Roman" w:cs="Times New Roman"/>
          <w:sz w:val="24"/>
        </w:rPr>
        <w:t>hearing</w:t>
      </w:r>
      <w:r w:rsidR="00ED4B7B">
        <w:rPr>
          <w:rFonts w:ascii="Times New Roman" w:hAnsi="Times New Roman" w:cs="Times New Roman"/>
          <w:sz w:val="24"/>
        </w:rPr>
        <w:t>.  It is convenient to deal with the next objection to the plaintiff’s summons before making a finding on the fate of the special plea.</w:t>
      </w:r>
    </w:p>
    <w:p w:rsidR="00ED4B7B" w:rsidRDefault="00ED4B7B" w:rsidP="00A96DD6">
      <w:pPr>
        <w:spacing w:line="360" w:lineRule="auto"/>
        <w:contextualSpacing/>
        <w:jc w:val="both"/>
        <w:rPr>
          <w:rFonts w:ascii="Times New Roman" w:hAnsi="Times New Roman" w:cs="Times New Roman"/>
          <w:sz w:val="24"/>
        </w:rPr>
      </w:pPr>
    </w:p>
    <w:p w:rsidR="00ED4B7B" w:rsidRPr="00B65552" w:rsidRDefault="00ED4B7B" w:rsidP="00A96DD6">
      <w:pPr>
        <w:spacing w:line="360" w:lineRule="auto"/>
        <w:contextualSpacing/>
        <w:jc w:val="both"/>
        <w:rPr>
          <w:rFonts w:ascii="Times New Roman" w:hAnsi="Times New Roman" w:cs="Times New Roman"/>
          <w:b/>
          <w:sz w:val="24"/>
          <w:u w:val="single"/>
        </w:rPr>
      </w:pPr>
      <w:r w:rsidRPr="00B65552">
        <w:rPr>
          <w:rFonts w:ascii="Times New Roman" w:hAnsi="Times New Roman" w:cs="Times New Roman"/>
          <w:b/>
          <w:sz w:val="24"/>
          <w:u w:val="single"/>
        </w:rPr>
        <w:t>The Exception</w:t>
      </w:r>
    </w:p>
    <w:p w:rsidR="00ED4B7B" w:rsidRDefault="00ED4B7B" w:rsidP="00A96DD6">
      <w:pPr>
        <w:spacing w:line="360" w:lineRule="auto"/>
        <w:contextualSpacing/>
        <w:jc w:val="both"/>
        <w:rPr>
          <w:rFonts w:ascii="Times New Roman" w:hAnsi="Times New Roman" w:cs="Times New Roman"/>
          <w:sz w:val="24"/>
        </w:rPr>
      </w:pPr>
      <w:r>
        <w:rPr>
          <w:rFonts w:ascii="Times New Roman" w:hAnsi="Times New Roman" w:cs="Times New Roman"/>
          <w:sz w:val="24"/>
        </w:rPr>
        <w:t>The plaintiff has indicated in her heads of argument that by</w:t>
      </w:r>
      <w:r w:rsidR="00E415F4">
        <w:rPr>
          <w:rFonts w:ascii="Times New Roman" w:hAnsi="Times New Roman" w:cs="Times New Roman"/>
          <w:sz w:val="24"/>
        </w:rPr>
        <w:t xml:space="preserve"> some error, all copies of the e</w:t>
      </w:r>
      <w:r>
        <w:rPr>
          <w:rFonts w:ascii="Times New Roman" w:hAnsi="Times New Roman" w:cs="Times New Roman"/>
          <w:sz w:val="24"/>
        </w:rPr>
        <w:t xml:space="preserve">xception, which was served </w:t>
      </w:r>
      <w:r w:rsidR="00E41188">
        <w:rPr>
          <w:rFonts w:ascii="Times New Roman" w:hAnsi="Times New Roman" w:cs="Times New Roman"/>
          <w:sz w:val="24"/>
        </w:rPr>
        <w:t>simultaneously</w:t>
      </w:r>
      <w:r>
        <w:rPr>
          <w:rFonts w:ascii="Times New Roman" w:hAnsi="Times New Roman" w:cs="Times New Roman"/>
          <w:sz w:val="24"/>
        </w:rPr>
        <w:t xml:space="preserve"> with the application to strike out, and the special plea, were retained by the person serving the “battery” of papers upon plaintiff’s legal practitio</w:t>
      </w:r>
      <w:r w:rsidR="00E41188">
        <w:rPr>
          <w:rFonts w:ascii="Times New Roman" w:hAnsi="Times New Roman" w:cs="Times New Roman"/>
          <w:sz w:val="24"/>
        </w:rPr>
        <w:t xml:space="preserve">ners.  The plaintiff consequently, attended to, and responded only to the special plea and application to strike out.  An indulgence having been granted to the plaintiff by the defendant’s legal practitioners, a response </w:t>
      </w:r>
      <w:r w:rsidR="001F2ABE">
        <w:rPr>
          <w:rFonts w:ascii="Times New Roman" w:hAnsi="Times New Roman" w:cs="Times New Roman"/>
          <w:sz w:val="24"/>
        </w:rPr>
        <w:t xml:space="preserve">to the </w:t>
      </w:r>
      <w:r w:rsidR="00FE5F5E">
        <w:rPr>
          <w:rFonts w:ascii="Times New Roman" w:hAnsi="Times New Roman" w:cs="Times New Roman"/>
          <w:sz w:val="24"/>
        </w:rPr>
        <w:t>exception</w:t>
      </w:r>
      <w:r w:rsidR="001F2ABE">
        <w:rPr>
          <w:rFonts w:ascii="Times New Roman" w:hAnsi="Times New Roman" w:cs="Times New Roman"/>
          <w:sz w:val="24"/>
        </w:rPr>
        <w:t xml:space="preserve"> was duly filed.  This court will exercise its discretion and make a finding that the failure to </w:t>
      </w:r>
      <w:r w:rsidR="00FE5F5E">
        <w:rPr>
          <w:rFonts w:ascii="Times New Roman" w:hAnsi="Times New Roman" w:cs="Times New Roman"/>
          <w:sz w:val="24"/>
        </w:rPr>
        <w:t xml:space="preserve">respond to the exception was not deliberate </w:t>
      </w:r>
      <w:r w:rsidR="00416B2A">
        <w:rPr>
          <w:rFonts w:ascii="Times New Roman" w:hAnsi="Times New Roman" w:cs="Times New Roman"/>
          <w:sz w:val="24"/>
        </w:rPr>
        <w:t>and</w:t>
      </w:r>
      <w:r w:rsidR="00FE5F5E">
        <w:rPr>
          <w:rFonts w:ascii="Times New Roman" w:hAnsi="Times New Roman" w:cs="Times New Roman"/>
          <w:sz w:val="24"/>
        </w:rPr>
        <w:t xml:space="preserve"> accordingly deal with the merits of the exception.  The first argument on which the exception is premised is that the conduct of first defendant complained of does not constitute a discharge of the functions of a Minister of Gospel.</w:t>
      </w:r>
    </w:p>
    <w:p w:rsidR="001C72F8" w:rsidRDefault="00FE5F5E" w:rsidP="00A96DD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settled law that an exception is to be decided strictly with reference to the pleading excepted to only.  </w:t>
      </w:r>
      <w:r w:rsidR="000919AB">
        <w:rPr>
          <w:rFonts w:ascii="Times New Roman" w:hAnsi="Times New Roman" w:cs="Times New Roman"/>
          <w:sz w:val="24"/>
        </w:rPr>
        <w:t xml:space="preserve">No evidence can be led, </w:t>
      </w:r>
      <w:r w:rsidR="001C72F8">
        <w:rPr>
          <w:rFonts w:ascii="Times New Roman" w:hAnsi="Times New Roman" w:cs="Times New Roman"/>
          <w:sz w:val="24"/>
        </w:rPr>
        <w:t xml:space="preserve">or additional facts alleged.  What the exception does is to complain of an inherent defect in the pleading.  The case of </w:t>
      </w:r>
      <w:r w:rsidR="001C72F8" w:rsidRPr="00DF5936">
        <w:rPr>
          <w:rFonts w:ascii="Times New Roman" w:hAnsi="Times New Roman" w:cs="Times New Roman"/>
          <w:i/>
          <w:sz w:val="24"/>
        </w:rPr>
        <w:t>Fawcett Security Operations (Pvt) Ltd</w:t>
      </w:r>
      <w:r w:rsidR="001C72F8">
        <w:rPr>
          <w:rFonts w:ascii="Times New Roman" w:hAnsi="Times New Roman" w:cs="Times New Roman"/>
          <w:sz w:val="24"/>
        </w:rPr>
        <w:t xml:space="preserve"> v </w:t>
      </w:r>
      <w:r w:rsidR="001C72F8" w:rsidRPr="00DF5936">
        <w:rPr>
          <w:rFonts w:ascii="Times New Roman" w:hAnsi="Times New Roman" w:cs="Times New Roman"/>
          <w:i/>
          <w:sz w:val="24"/>
        </w:rPr>
        <w:t>Omar Enterprises (Pvt) Ltd</w:t>
      </w:r>
      <w:r w:rsidR="001C72F8">
        <w:rPr>
          <w:rFonts w:ascii="Times New Roman" w:hAnsi="Times New Roman" w:cs="Times New Roman"/>
          <w:sz w:val="24"/>
        </w:rPr>
        <w:t xml:space="preserve"> 1991 (2) ZLR 291 (SC) is relevant to the determination of this exception.  The appellant in that case provided a security guard to detect and prevent theft from the respondent’s supermarket.  The guard chosen for the task was dishonest and </w:t>
      </w:r>
      <w:r w:rsidR="001C72F8">
        <w:rPr>
          <w:rFonts w:ascii="Times New Roman" w:hAnsi="Times New Roman" w:cs="Times New Roman"/>
          <w:sz w:val="24"/>
        </w:rPr>
        <w:lastRenderedPageBreak/>
        <w:t>participated in the theft of goods worth $139539.  T</w:t>
      </w:r>
      <w:r w:rsidR="00FF5C58">
        <w:rPr>
          <w:rFonts w:ascii="Times New Roman" w:hAnsi="Times New Roman" w:cs="Times New Roman"/>
          <w:sz w:val="24"/>
        </w:rPr>
        <w:t>he respondent sought to hold t</w:t>
      </w:r>
      <w:r w:rsidR="001C72F8">
        <w:rPr>
          <w:rFonts w:ascii="Times New Roman" w:hAnsi="Times New Roman" w:cs="Times New Roman"/>
          <w:sz w:val="24"/>
        </w:rPr>
        <w:t>he appellant vicariously liable for the dishonest acts of his servant. It was held that unless the goods in question had been entrusted to the custody of the employee, the employer is not vicariously liable for any dishonest act of the employee.  The court further held that a claim in delict can arise where it is alleged that a dishonest guard was employed in breach of the duty of care, or where there has been a failure to supervise the guard.  In the present case, the basis of the plaintiff’s claim is that first defendant whilst in the employment of the defendants ma</w:t>
      </w:r>
      <w:r w:rsidR="00003B9E">
        <w:rPr>
          <w:rFonts w:ascii="Times New Roman" w:hAnsi="Times New Roman" w:cs="Times New Roman"/>
          <w:sz w:val="24"/>
        </w:rPr>
        <w:t>de certain sexual advances including,</w:t>
      </w:r>
      <w:r w:rsidR="001C72F8">
        <w:rPr>
          <w:rFonts w:ascii="Times New Roman" w:hAnsi="Times New Roman" w:cs="Times New Roman"/>
          <w:sz w:val="24"/>
        </w:rPr>
        <w:t xml:space="preserve"> hugging and caressing the plaintiff.  </w:t>
      </w:r>
      <w:r w:rsidR="007A66AC">
        <w:rPr>
          <w:rFonts w:ascii="Times New Roman" w:hAnsi="Times New Roman" w:cs="Times New Roman"/>
          <w:sz w:val="24"/>
        </w:rPr>
        <w:t xml:space="preserve">  It would appear that the defendant’s objection is based both on</w:t>
      </w:r>
      <w:r w:rsidR="00F53C5F">
        <w:rPr>
          <w:rFonts w:ascii="Times New Roman" w:hAnsi="Times New Roman" w:cs="Times New Roman"/>
          <w:sz w:val="24"/>
        </w:rPr>
        <w:t xml:space="preserve"> a</w:t>
      </w:r>
      <w:r w:rsidR="007A66AC">
        <w:rPr>
          <w:rFonts w:ascii="Times New Roman" w:hAnsi="Times New Roman" w:cs="Times New Roman"/>
          <w:sz w:val="24"/>
        </w:rPr>
        <w:t xml:space="preserve"> question of the law on vicarious liability, and fact as to the duty of care if any, the second to fourth defendants had towards the plaintiff.  Those issues are eminently not suited for determination by way of exception.  It occurs to me</w:t>
      </w:r>
      <w:r w:rsidR="006124D4">
        <w:rPr>
          <w:rFonts w:ascii="Times New Roman" w:hAnsi="Times New Roman" w:cs="Times New Roman"/>
          <w:sz w:val="24"/>
        </w:rPr>
        <w:t>,</w:t>
      </w:r>
      <w:r w:rsidR="007A66AC">
        <w:rPr>
          <w:rFonts w:ascii="Times New Roman" w:hAnsi="Times New Roman" w:cs="Times New Roman"/>
          <w:sz w:val="24"/>
        </w:rPr>
        <w:t xml:space="preserve"> that in cases involving sexual abuse, the courts may establish vicarious liability on the part of an employer where the acts of abuse, though not constituting a mode, even an improper one, of carry</w:t>
      </w:r>
      <w:r w:rsidR="004C612E">
        <w:rPr>
          <w:rFonts w:ascii="Times New Roman" w:hAnsi="Times New Roman" w:cs="Times New Roman"/>
          <w:sz w:val="24"/>
        </w:rPr>
        <w:t>ing</w:t>
      </w:r>
      <w:r w:rsidR="007A66AC">
        <w:rPr>
          <w:rFonts w:ascii="Times New Roman" w:hAnsi="Times New Roman" w:cs="Times New Roman"/>
          <w:sz w:val="24"/>
        </w:rPr>
        <w:t xml:space="preserve"> out an employee’s duty, ma</w:t>
      </w:r>
      <w:r w:rsidR="008C7EE7">
        <w:rPr>
          <w:rFonts w:ascii="Times New Roman" w:hAnsi="Times New Roman" w:cs="Times New Roman"/>
          <w:sz w:val="24"/>
        </w:rPr>
        <w:t xml:space="preserve">y be sufficiently connected to the </w:t>
      </w:r>
      <w:r w:rsidR="007A66AC">
        <w:rPr>
          <w:rFonts w:ascii="Times New Roman" w:hAnsi="Times New Roman" w:cs="Times New Roman"/>
          <w:sz w:val="24"/>
        </w:rPr>
        <w:t>discharge of the employee</w:t>
      </w:r>
      <w:r w:rsidR="00491DAB">
        <w:rPr>
          <w:rFonts w:ascii="Times New Roman" w:hAnsi="Times New Roman" w:cs="Times New Roman"/>
          <w:sz w:val="24"/>
        </w:rPr>
        <w:t xml:space="preserve">’s duties.  This is clearly a matter to be dealt with by the leading of evidence.  </w:t>
      </w:r>
      <w:r w:rsidR="00D96682">
        <w:rPr>
          <w:rFonts w:ascii="Times New Roman" w:hAnsi="Times New Roman" w:cs="Times New Roman"/>
          <w:sz w:val="24"/>
        </w:rPr>
        <w:t>The issues raised</w:t>
      </w:r>
      <w:r w:rsidR="00C74415">
        <w:rPr>
          <w:rFonts w:ascii="Times New Roman" w:hAnsi="Times New Roman" w:cs="Times New Roman"/>
          <w:sz w:val="24"/>
        </w:rPr>
        <w:t xml:space="preserve"> </w:t>
      </w:r>
      <w:r w:rsidR="00D96682">
        <w:rPr>
          <w:rFonts w:ascii="Times New Roman" w:hAnsi="Times New Roman" w:cs="Times New Roman"/>
          <w:sz w:val="24"/>
        </w:rPr>
        <w:t xml:space="preserve"> in the special plea and exception should be dealt with at trial.  </w:t>
      </w:r>
      <w:r w:rsidR="00491DAB">
        <w:rPr>
          <w:rFonts w:ascii="Times New Roman" w:hAnsi="Times New Roman" w:cs="Times New Roman"/>
          <w:sz w:val="24"/>
        </w:rPr>
        <w:t xml:space="preserve">In the result the exception is not merited and must be dismissed.  </w:t>
      </w:r>
    </w:p>
    <w:p w:rsidR="00491DAB" w:rsidRDefault="00491DAB" w:rsidP="00A96DD6">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w:t>
      </w:r>
      <w:r w:rsidR="00084B4E">
        <w:rPr>
          <w:rFonts w:ascii="Times New Roman" w:hAnsi="Times New Roman" w:cs="Times New Roman"/>
          <w:sz w:val="24"/>
        </w:rPr>
        <w:t xml:space="preserve"> </w:t>
      </w:r>
      <w:r>
        <w:rPr>
          <w:rFonts w:ascii="Times New Roman" w:hAnsi="Times New Roman" w:cs="Times New Roman"/>
          <w:sz w:val="24"/>
        </w:rPr>
        <w:t xml:space="preserve"> and</w:t>
      </w:r>
      <w:r w:rsidR="00B97010">
        <w:rPr>
          <w:rFonts w:ascii="Times New Roman" w:hAnsi="Times New Roman" w:cs="Times New Roman"/>
          <w:sz w:val="24"/>
        </w:rPr>
        <w:t xml:space="preserve"> </w:t>
      </w:r>
      <w:r>
        <w:rPr>
          <w:rFonts w:ascii="Times New Roman" w:hAnsi="Times New Roman" w:cs="Times New Roman"/>
          <w:sz w:val="24"/>
        </w:rPr>
        <w:t xml:space="preserve"> for the </w:t>
      </w:r>
      <w:proofErr w:type="spellStart"/>
      <w:r>
        <w:rPr>
          <w:rFonts w:ascii="Times New Roman" w:hAnsi="Times New Roman" w:cs="Times New Roman"/>
          <w:sz w:val="24"/>
        </w:rPr>
        <w:t>aforegoing</w:t>
      </w:r>
      <w:proofErr w:type="spellEnd"/>
      <w:r>
        <w:rPr>
          <w:rFonts w:ascii="Times New Roman" w:hAnsi="Times New Roman" w:cs="Times New Roman"/>
          <w:sz w:val="24"/>
        </w:rPr>
        <w:t xml:space="preserve"> reasons the court makes the following order</w:t>
      </w:r>
      <w:r w:rsidR="00223EF5">
        <w:rPr>
          <w:rFonts w:ascii="Times New Roman" w:hAnsi="Times New Roman" w:cs="Times New Roman"/>
          <w:sz w:val="24"/>
        </w:rPr>
        <w:t>;</w:t>
      </w:r>
    </w:p>
    <w:p w:rsidR="00491DAB" w:rsidRDefault="00491DAB" w:rsidP="004805EE">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The application for condonation in respect of the late filing of plaintiff’s heads of argument is allowed.</w:t>
      </w:r>
    </w:p>
    <w:p w:rsidR="00491DAB" w:rsidRDefault="00491DAB" w:rsidP="00A96DD6">
      <w:pPr>
        <w:spacing w:line="360" w:lineRule="auto"/>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application to strike out is hereby granted.</w:t>
      </w:r>
    </w:p>
    <w:p w:rsidR="00491DAB" w:rsidRDefault="00491DAB" w:rsidP="00A96DD6">
      <w:pPr>
        <w:spacing w:line="360" w:lineRule="auto"/>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plaintiff is granted leave to amend the summons and declaration in terms of the rules.</w:t>
      </w:r>
    </w:p>
    <w:p w:rsidR="00491DAB" w:rsidRDefault="00491DAB" w:rsidP="00A96DD6">
      <w:pPr>
        <w:spacing w:line="360" w:lineRule="auto"/>
        <w:contextualSpacing/>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The special plea and exception are hereby dismissed.</w:t>
      </w:r>
    </w:p>
    <w:p w:rsidR="00491DAB" w:rsidRDefault="00491DAB" w:rsidP="00A96DD6">
      <w:pPr>
        <w:spacing w:line="360" w:lineRule="auto"/>
        <w:contextualSpacing/>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The defendants are ordered to plead over the merits in terms of the rules.</w:t>
      </w:r>
    </w:p>
    <w:p w:rsidR="00491DAB" w:rsidRDefault="00491DAB" w:rsidP="00A96DD6">
      <w:pPr>
        <w:spacing w:line="360" w:lineRule="auto"/>
        <w:contextualSpacing/>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Costs in the cause.</w:t>
      </w:r>
    </w:p>
    <w:p w:rsidR="00491DAB" w:rsidRDefault="00491DAB" w:rsidP="00A96DD6">
      <w:pPr>
        <w:spacing w:line="360" w:lineRule="auto"/>
        <w:contextualSpacing/>
        <w:jc w:val="both"/>
        <w:rPr>
          <w:rFonts w:ascii="Times New Roman" w:hAnsi="Times New Roman" w:cs="Times New Roman"/>
          <w:sz w:val="24"/>
        </w:rPr>
      </w:pPr>
    </w:p>
    <w:p w:rsidR="00491DAB" w:rsidRDefault="00491DAB" w:rsidP="00A96DD6">
      <w:pPr>
        <w:spacing w:line="360" w:lineRule="auto"/>
        <w:contextualSpacing/>
        <w:jc w:val="both"/>
        <w:rPr>
          <w:rFonts w:ascii="Times New Roman" w:hAnsi="Times New Roman" w:cs="Times New Roman"/>
          <w:sz w:val="24"/>
        </w:rPr>
      </w:pPr>
    </w:p>
    <w:p w:rsidR="00491DAB" w:rsidRDefault="00491DAB" w:rsidP="004805EE">
      <w:pPr>
        <w:spacing w:line="240" w:lineRule="auto"/>
        <w:contextualSpacing/>
        <w:jc w:val="both"/>
        <w:rPr>
          <w:rFonts w:ascii="Times New Roman" w:hAnsi="Times New Roman" w:cs="Times New Roman"/>
          <w:sz w:val="24"/>
        </w:rPr>
      </w:pPr>
      <w:r w:rsidRPr="00491DAB">
        <w:rPr>
          <w:rFonts w:ascii="Times New Roman" w:hAnsi="Times New Roman" w:cs="Times New Roman"/>
          <w:i/>
          <w:sz w:val="24"/>
        </w:rPr>
        <w:t>Calderwood, Bryce Hendrie and Partners,</w:t>
      </w:r>
      <w:r>
        <w:rPr>
          <w:rFonts w:ascii="Times New Roman" w:hAnsi="Times New Roman" w:cs="Times New Roman"/>
          <w:sz w:val="24"/>
        </w:rPr>
        <w:t xml:space="preserve"> plaintiff’s legal practitioners</w:t>
      </w:r>
    </w:p>
    <w:p w:rsidR="00491DAB" w:rsidRDefault="00491DAB" w:rsidP="004805EE">
      <w:pPr>
        <w:spacing w:line="240" w:lineRule="auto"/>
        <w:contextualSpacing/>
        <w:jc w:val="both"/>
        <w:rPr>
          <w:rFonts w:ascii="Times New Roman" w:hAnsi="Times New Roman" w:cs="Times New Roman"/>
          <w:sz w:val="24"/>
        </w:rPr>
      </w:pPr>
      <w:r w:rsidRPr="00491DAB">
        <w:rPr>
          <w:rFonts w:ascii="Times New Roman" w:hAnsi="Times New Roman" w:cs="Times New Roman"/>
          <w:i/>
          <w:sz w:val="24"/>
        </w:rPr>
        <w:t>Coghlan and Welsh</w:t>
      </w:r>
      <w:r>
        <w:rPr>
          <w:rFonts w:ascii="Times New Roman" w:hAnsi="Times New Roman" w:cs="Times New Roman"/>
          <w:sz w:val="24"/>
        </w:rPr>
        <w:t>, 2</w:t>
      </w:r>
      <w:r w:rsidRPr="00491DAB">
        <w:rPr>
          <w:rFonts w:ascii="Times New Roman" w:hAnsi="Times New Roman" w:cs="Times New Roman"/>
          <w:sz w:val="24"/>
          <w:vertAlign w:val="superscript"/>
        </w:rPr>
        <w:t>nd</w:t>
      </w:r>
      <w:r>
        <w:rPr>
          <w:rFonts w:ascii="Times New Roman" w:hAnsi="Times New Roman" w:cs="Times New Roman"/>
          <w:sz w:val="24"/>
        </w:rPr>
        <w:t>, 3</w:t>
      </w:r>
      <w:r w:rsidRPr="00491DAB">
        <w:rPr>
          <w:rFonts w:ascii="Times New Roman" w:hAnsi="Times New Roman" w:cs="Times New Roman"/>
          <w:sz w:val="24"/>
          <w:vertAlign w:val="superscript"/>
        </w:rPr>
        <w:t>rd</w:t>
      </w:r>
      <w:r>
        <w:rPr>
          <w:rFonts w:ascii="Times New Roman" w:hAnsi="Times New Roman" w:cs="Times New Roman"/>
          <w:sz w:val="24"/>
        </w:rPr>
        <w:t xml:space="preserve"> &amp; 4</w:t>
      </w:r>
      <w:r w:rsidRPr="00491DAB">
        <w:rPr>
          <w:rFonts w:ascii="Times New Roman" w:hAnsi="Times New Roman" w:cs="Times New Roman"/>
          <w:sz w:val="24"/>
          <w:vertAlign w:val="superscript"/>
        </w:rPr>
        <w:t>th</w:t>
      </w:r>
      <w:r>
        <w:rPr>
          <w:rFonts w:ascii="Times New Roman" w:hAnsi="Times New Roman" w:cs="Times New Roman"/>
          <w:sz w:val="24"/>
        </w:rPr>
        <w:t xml:space="preserve"> defendants’ legal practitioners </w:t>
      </w:r>
    </w:p>
    <w:p w:rsidR="00A76E62" w:rsidRDefault="00A76E62" w:rsidP="00A96DD6">
      <w:pPr>
        <w:spacing w:line="360" w:lineRule="auto"/>
        <w:contextualSpacing/>
        <w:jc w:val="both"/>
        <w:rPr>
          <w:rFonts w:ascii="Times New Roman" w:hAnsi="Times New Roman" w:cs="Times New Roman"/>
          <w:sz w:val="24"/>
        </w:rPr>
      </w:pPr>
      <w:r>
        <w:rPr>
          <w:rFonts w:ascii="Times New Roman" w:hAnsi="Times New Roman" w:cs="Times New Roman"/>
          <w:sz w:val="24"/>
        </w:rPr>
        <w:tab/>
      </w:r>
    </w:p>
    <w:sectPr w:rsidR="00A76E62" w:rsidSect="00C726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5E7" w:rsidRDefault="002355E7" w:rsidP="00383AC4">
      <w:pPr>
        <w:spacing w:after="0" w:line="240" w:lineRule="auto"/>
      </w:pPr>
      <w:r>
        <w:separator/>
      </w:r>
    </w:p>
  </w:endnote>
  <w:endnote w:type="continuationSeparator" w:id="0">
    <w:p w:rsidR="002355E7" w:rsidRDefault="002355E7" w:rsidP="0038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5E7" w:rsidRDefault="002355E7" w:rsidP="00383AC4">
      <w:pPr>
        <w:spacing w:after="0" w:line="240" w:lineRule="auto"/>
      </w:pPr>
      <w:r>
        <w:separator/>
      </w:r>
    </w:p>
  </w:footnote>
  <w:footnote w:type="continuationSeparator" w:id="0">
    <w:p w:rsidR="002355E7" w:rsidRDefault="002355E7" w:rsidP="0038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3920"/>
      <w:docPartObj>
        <w:docPartGallery w:val="Page Numbers (Top of Page)"/>
        <w:docPartUnique/>
      </w:docPartObj>
    </w:sdtPr>
    <w:sdtEndPr>
      <w:rPr>
        <w:rFonts w:ascii="Times New Roman" w:hAnsi="Times New Roman" w:cs="Times New Roman"/>
        <w:noProof/>
        <w:sz w:val="24"/>
      </w:rPr>
    </w:sdtEndPr>
    <w:sdtContent>
      <w:p w:rsidR="007A66AC" w:rsidRDefault="00C978CA">
        <w:pPr>
          <w:pStyle w:val="Header"/>
          <w:jc w:val="right"/>
          <w:rPr>
            <w:rFonts w:ascii="Times New Roman" w:hAnsi="Times New Roman" w:cs="Times New Roman"/>
            <w:noProof/>
            <w:sz w:val="24"/>
          </w:rPr>
        </w:pPr>
        <w:r w:rsidRPr="00383AC4">
          <w:rPr>
            <w:rFonts w:ascii="Times New Roman" w:hAnsi="Times New Roman" w:cs="Times New Roman"/>
            <w:sz w:val="24"/>
          </w:rPr>
          <w:fldChar w:fldCharType="begin"/>
        </w:r>
        <w:r w:rsidR="007A66AC" w:rsidRPr="00383AC4">
          <w:rPr>
            <w:rFonts w:ascii="Times New Roman" w:hAnsi="Times New Roman" w:cs="Times New Roman"/>
            <w:sz w:val="24"/>
          </w:rPr>
          <w:instrText xml:space="preserve"> PAGE   \* MERGEFORMAT </w:instrText>
        </w:r>
        <w:r w:rsidRPr="00383AC4">
          <w:rPr>
            <w:rFonts w:ascii="Times New Roman" w:hAnsi="Times New Roman" w:cs="Times New Roman"/>
            <w:sz w:val="24"/>
          </w:rPr>
          <w:fldChar w:fldCharType="separate"/>
        </w:r>
        <w:r w:rsidR="00D17E18">
          <w:rPr>
            <w:rFonts w:ascii="Times New Roman" w:hAnsi="Times New Roman" w:cs="Times New Roman"/>
            <w:noProof/>
            <w:sz w:val="24"/>
          </w:rPr>
          <w:t>8</w:t>
        </w:r>
        <w:r w:rsidRPr="00383AC4">
          <w:rPr>
            <w:rFonts w:ascii="Times New Roman" w:hAnsi="Times New Roman" w:cs="Times New Roman"/>
            <w:noProof/>
            <w:sz w:val="24"/>
          </w:rPr>
          <w:fldChar w:fldCharType="end"/>
        </w:r>
      </w:p>
      <w:p w:rsidR="007A66AC" w:rsidRDefault="007A66AC">
        <w:pPr>
          <w:pStyle w:val="Header"/>
          <w:jc w:val="right"/>
          <w:rPr>
            <w:rFonts w:ascii="Times New Roman" w:hAnsi="Times New Roman" w:cs="Times New Roman"/>
            <w:noProof/>
            <w:sz w:val="24"/>
          </w:rPr>
        </w:pPr>
      </w:p>
      <w:p w:rsidR="007A66AC" w:rsidRDefault="007A66AC">
        <w:pPr>
          <w:pStyle w:val="Header"/>
          <w:jc w:val="right"/>
          <w:rPr>
            <w:rFonts w:ascii="Times New Roman" w:hAnsi="Times New Roman" w:cs="Times New Roman"/>
            <w:noProof/>
            <w:sz w:val="24"/>
          </w:rPr>
        </w:pPr>
        <w:r>
          <w:rPr>
            <w:rFonts w:ascii="Times New Roman" w:hAnsi="Times New Roman" w:cs="Times New Roman"/>
            <w:noProof/>
            <w:sz w:val="24"/>
          </w:rPr>
          <w:tab/>
          <w:t>HB 263-18</w:t>
        </w:r>
      </w:p>
      <w:p w:rsidR="007A66AC" w:rsidRDefault="007A66AC">
        <w:pPr>
          <w:pStyle w:val="Header"/>
          <w:jc w:val="right"/>
          <w:rPr>
            <w:rFonts w:ascii="Times New Roman" w:hAnsi="Times New Roman" w:cs="Times New Roman"/>
            <w:noProof/>
            <w:sz w:val="24"/>
          </w:rPr>
        </w:pPr>
        <w:r>
          <w:rPr>
            <w:rFonts w:ascii="Times New Roman" w:hAnsi="Times New Roman" w:cs="Times New Roman"/>
            <w:noProof/>
            <w:sz w:val="24"/>
          </w:rPr>
          <w:t>HC 997/17</w:t>
        </w:r>
      </w:p>
      <w:p w:rsidR="007A66AC" w:rsidRPr="00383AC4" w:rsidRDefault="002355E7" w:rsidP="00383AC4">
        <w:pPr>
          <w:pStyle w:val="Header"/>
          <w:jc w:val="center"/>
          <w:rPr>
            <w:rFonts w:ascii="Times New Roman" w:hAnsi="Times New Roman" w:cs="Times New Roman"/>
            <w:sz w:val="24"/>
          </w:rPr>
        </w:pPr>
      </w:p>
    </w:sdtContent>
  </w:sdt>
  <w:p w:rsidR="007A66AC" w:rsidRDefault="007A6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C4"/>
    <w:rsid w:val="00003B9E"/>
    <w:rsid w:val="00014D1B"/>
    <w:rsid w:val="00033815"/>
    <w:rsid w:val="00055A5C"/>
    <w:rsid w:val="00080FB3"/>
    <w:rsid w:val="00084B4E"/>
    <w:rsid w:val="000919AB"/>
    <w:rsid w:val="000A5D67"/>
    <w:rsid w:val="001122DB"/>
    <w:rsid w:val="00120C74"/>
    <w:rsid w:val="001415CC"/>
    <w:rsid w:val="00146C82"/>
    <w:rsid w:val="00162949"/>
    <w:rsid w:val="001B746B"/>
    <w:rsid w:val="001C72F8"/>
    <w:rsid w:val="001E3B62"/>
    <w:rsid w:val="001F2ABE"/>
    <w:rsid w:val="002049A3"/>
    <w:rsid w:val="00217635"/>
    <w:rsid w:val="00223EF5"/>
    <w:rsid w:val="002355E7"/>
    <w:rsid w:val="00285BF8"/>
    <w:rsid w:val="002E13CC"/>
    <w:rsid w:val="002E2E6F"/>
    <w:rsid w:val="00340748"/>
    <w:rsid w:val="003432F5"/>
    <w:rsid w:val="00383AC4"/>
    <w:rsid w:val="003A55E8"/>
    <w:rsid w:val="003B4A02"/>
    <w:rsid w:val="003C752A"/>
    <w:rsid w:val="003D648B"/>
    <w:rsid w:val="004105F8"/>
    <w:rsid w:val="00414070"/>
    <w:rsid w:val="00416B2A"/>
    <w:rsid w:val="004805EE"/>
    <w:rsid w:val="00491DAB"/>
    <w:rsid w:val="004C2F2A"/>
    <w:rsid w:val="004C612E"/>
    <w:rsid w:val="004E5423"/>
    <w:rsid w:val="0055058D"/>
    <w:rsid w:val="0055718D"/>
    <w:rsid w:val="00564F60"/>
    <w:rsid w:val="005A456B"/>
    <w:rsid w:val="005A7C9A"/>
    <w:rsid w:val="005C65EE"/>
    <w:rsid w:val="005F715F"/>
    <w:rsid w:val="006036DB"/>
    <w:rsid w:val="006124D4"/>
    <w:rsid w:val="00667E1A"/>
    <w:rsid w:val="00671EFF"/>
    <w:rsid w:val="00681A5A"/>
    <w:rsid w:val="006C6430"/>
    <w:rsid w:val="00720C81"/>
    <w:rsid w:val="00727F18"/>
    <w:rsid w:val="00752165"/>
    <w:rsid w:val="00782802"/>
    <w:rsid w:val="007A66AC"/>
    <w:rsid w:val="00834801"/>
    <w:rsid w:val="00863E11"/>
    <w:rsid w:val="00876936"/>
    <w:rsid w:val="008879CD"/>
    <w:rsid w:val="008A6C63"/>
    <w:rsid w:val="008C7EE7"/>
    <w:rsid w:val="008E1D3A"/>
    <w:rsid w:val="009467FA"/>
    <w:rsid w:val="00955F42"/>
    <w:rsid w:val="00965675"/>
    <w:rsid w:val="00967A58"/>
    <w:rsid w:val="00992463"/>
    <w:rsid w:val="00993771"/>
    <w:rsid w:val="009972F3"/>
    <w:rsid w:val="009B6E50"/>
    <w:rsid w:val="009E6B84"/>
    <w:rsid w:val="00A04383"/>
    <w:rsid w:val="00A27408"/>
    <w:rsid w:val="00A33B27"/>
    <w:rsid w:val="00A34030"/>
    <w:rsid w:val="00A71FAE"/>
    <w:rsid w:val="00A76E62"/>
    <w:rsid w:val="00A96DD6"/>
    <w:rsid w:val="00AC01D6"/>
    <w:rsid w:val="00AC58AF"/>
    <w:rsid w:val="00AC5C6A"/>
    <w:rsid w:val="00B23C2B"/>
    <w:rsid w:val="00B65552"/>
    <w:rsid w:val="00B655CB"/>
    <w:rsid w:val="00B93F96"/>
    <w:rsid w:val="00B97010"/>
    <w:rsid w:val="00C0791D"/>
    <w:rsid w:val="00C20DDD"/>
    <w:rsid w:val="00C26D12"/>
    <w:rsid w:val="00C444F2"/>
    <w:rsid w:val="00C678A7"/>
    <w:rsid w:val="00C726B1"/>
    <w:rsid w:val="00C74415"/>
    <w:rsid w:val="00C86502"/>
    <w:rsid w:val="00C978CA"/>
    <w:rsid w:val="00CC1237"/>
    <w:rsid w:val="00CC37E1"/>
    <w:rsid w:val="00CE6A23"/>
    <w:rsid w:val="00D17642"/>
    <w:rsid w:val="00D17E18"/>
    <w:rsid w:val="00D47A9E"/>
    <w:rsid w:val="00D70511"/>
    <w:rsid w:val="00D96682"/>
    <w:rsid w:val="00DA6095"/>
    <w:rsid w:val="00DF4FA9"/>
    <w:rsid w:val="00DF5909"/>
    <w:rsid w:val="00DF5936"/>
    <w:rsid w:val="00E23F72"/>
    <w:rsid w:val="00E41188"/>
    <w:rsid w:val="00E415F4"/>
    <w:rsid w:val="00E7766A"/>
    <w:rsid w:val="00E965FE"/>
    <w:rsid w:val="00EA488D"/>
    <w:rsid w:val="00ED4B7B"/>
    <w:rsid w:val="00F53C5F"/>
    <w:rsid w:val="00F54FE3"/>
    <w:rsid w:val="00F828FE"/>
    <w:rsid w:val="00F85CDD"/>
    <w:rsid w:val="00F96C6F"/>
    <w:rsid w:val="00FE5F5E"/>
    <w:rsid w:val="00FF5C5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BEFD2-0478-4A24-916E-60C991F4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C4"/>
  </w:style>
  <w:style w:type="paragraph" w:styleId="Footer">
    <w:name w:val="footer"/>
    <w:basedOn w:val="Normal"/>
    <w:link w:val="FooterChar"/>
    <w:uiPriority w:val="99"/>
    <w:unhideWhenUsed/>
    <w:rsid w:val="0038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MOYO</dc:creator>
  <cp:lastModifiedBy>Zimlii</cp:lastModifiedBy>
  <cp:revision>2</cp:revision>
  <dcterms:created xsi:type="dcterms:W3CDTF">2019-01-22T07:04:00Z</dcterms:created>
  <dcterms:modified xsi:type="dcterms:W3CDTF">2019-01-22T07:04:00Z</dcterms:modified>
</cp:coreProperties>
</file>