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124A" w14:textId="77777777" w:rsidR="00A72489"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GERALDINE JOAN PURCELL-GILPIN</w:t>
      </w:r>
    </w:p>
    <w:p w14:paraId="28F65F99" w14:textId="77777777" w:rsidR="003F64E6" w:rsidRPr="003F64E6" w:rsidRDefault="003F64E6" w:rsidP="003F64E6">
      <w:pPr>
        <w:spacing w:line="240" w:lineRule="auto"/>
        <w:contextualSpacing/>
        <w:jc w:val="both"/>
        <w:rPr>
          <w:rFonts w:ascii="Times New Roman" w:hAnsi="Times New Roman" w:cs="Times New Roman"/>
          <w:b/>
          <w:sz w:val="24"/>
        </w:rPr>
      </w:pPr>
      <w:r w:rsidRPr="003F64E6">
        <w:rPr>
          <w:rFonts w:ascii="Times New Roman" w:hAnsi="Times New Roman" w:cs="Times New Roman"/>
          <w:b/>
          <w:sz w:val="24"/>
        </w:rPr>
        <w:t>versus</w:t>
      </w:r>
    </w:p>
    <w:p w14:paraId="0EBE4BB3"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MICHAEL PURCELL-GILPIN</w:t>
      </w:r>
    </w:p>
    <w:p w14:paraId="356AC0B5"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and</w:t>
      </w:r>
      <w:bookmarkStart w:id="0" w:name="_GoBack"/>
      <w:bookmarkEnd w:id="0"/>
    </w:p>
    <w:p w14:paraId="5B6FBFD0"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CHESTER PURCELL-GILPIN</w:t>
      </w:r>
    </w:p>
    <w:p w14:paraId="691E6328"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and </w:t>
      </w:r>
    </w:p>
    <w:p w14:paraId="4DCED224"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G V PURCELL-GILPIN (PVT) LTD</w:t>
      </w:r>
    </w:p>
    <w:p w14:paraId="12609C67"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14:paraId="1F5CCF6C"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DEPUTY SHERIFF, KWEKWE (N.O)</w:t>
      </w:r>
    </w:p>
    <w:p w14:paraId="468E17F5" w14:textId="77777777" w:rsidR="003F64E6" w:rsidRDefault="003F64E6" w:rsidP="003F64E6">
      <w:pPr>
        <w:spacing w:line="240" w:lineRule="auto"/>
        <w:contextualSpacing/>
        <w:jc w:val="both"/>
        <w:rPr>
          <w:rFonts w:ascii="Times New Roman" w:hAnsi="Times New Roman" w:cs="Times New Roman"/>
          <w:sz w:val="24"/>
        </w:rPr>
      </w:pPr>
    </w:p>
    <w:p w14:paraId="5439F4E9" w14:textId="77777777" w:rsidR="003F64E6" w:rsidRDefault="003F64E6" w:rsidP="003F64E6">
      <w:pPr>
        <w:spacing w:line="240" w:lineRule="auto"/>
        <w:contextualSpacing/>
        <w:jc w:val="both"/>
        <w:rPr>
          <w:rFonts w:ascii="Times New Roman" w:hAnsi="Times New Roman" w:cs="Times New Roman"/>
          <w:sz w:val="24"/>
        </w:rPr>
      </w:pPr>
    </w:p>
    <w:p w14:paraId="4E755F7E"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07DD3E3E"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MOYO J</w:t>
      </w:r>
    </w:p>
    <w:p w14:paraId="4DA97F5A" w14:textId="77777777" w:rsidR="003F64E6" w:rsidRDefault="003F64E6" w:rsidP="003F64E6">
      <w:pPr>
        <w:spacing w:line="240" w:lineRule="auto"/>
        <w:contextualSpacing/>
        <w:jc w:val="both"/>
        <w:rPr>
          <w:rFonts w:ascii="Times New Roman" w:hAnsi="Times New Roman" w:cs="Times New Roman"/>
          <w:sz w:val="24"/>
        </w:rPr>
      </w:pPr>
      <w:r>
        <w:rPr>
          <w:rFonts w:ascii="Times New Roman" w:hAnsi="Times New Roman" w:cs="Times New Roman"/>
          <w:sz w:val="24"/>
        </w:rPr>
        <w:t>BULAWAYO 27 FEBRU</w:t>
      </w:r>
      <w:r w:rsidR="000D7BC7">
        <w:rPr>
          <w:rFonts w:ascii="Times New Roman" w:hAnsi="Times New Roman" w:cs="Times New Roman"/>
          <w:sz w:val="24"/>
        </w:rPr>
        <w:t>A</w:t>
      </w:r>
      <w:r>
        <w:rPr>
          <w:rFonts w:ascii="Times New Roman" w:hAnsi="Times New Roman" w:cs="Times New Roman"/>
          <w:sz w:val="24"/>
        </w:rPr>
        <w:t>RY 2018 AND 22 MARCH 2018</w:t>
      </w:r>
    </w:p>
    <w:p w14:paraId="7A878DB0" w14:textId="77777777" w:rsidR="003F64E6" w:rsidRDefault="003F64E6" w:rsidP="003F64E6">
      <w:pPr>
        <w:spacing w:line="240" w:lineRule="auto"/>
        <w:contextualSpacing/>
        <w:jc w:val="both"/>
        <w:rPr>
          <w:rFonts w:ascii="Times New Roman" w:hAnsi="Times New Roman" w:cs="Times New Roman"/>
          <w:sz w:val="24"/>
        </w:rPr>
      </w:pPr>
    </w:p>
    <w:p w14:paraId="3D538BA7" w14:textId="77777777" w:rsidR="003F64E6" w:rsidRDefault="003F64E6" w:rsidP="003F64E6">
      <w:pPr>
        <w:spacing w:line="240" w:lineRule="auto"/>
        <w:contextualSpacing/>
        <w:jc w:val="both"/>
        <w:rPr>
          <w:rFonts w:ascii="Times New Roman" w:hAnsi="Times New Roman" w:cs="Times New Roman"/>
          <w:sz w:val="24"/>
        </w:rPr>
      </w:pPr>
    </w:p>
    <w:p w14:paraId="4921631A" w14:textId="77777777" w:rsidR="003F64E6" w:rsidRPr="003F64E6" w:rsidRDefault="003F64E6" w:rsidP="003F64E6">
      <w:pPr>
        <w:spacing w:line="240" w:lineRule="auto"/>
        <w:contextualSpacing/>
        <w:jc w:val="both"/>
        <w:rPr>
          <w:rFonts w:ascii="Times New Roman" w:hAnsi="Times New Roman" w:cs="Times New Roman"/>
          <w:b/>
          <w:sz w:val="24"/>
        </w:rPr>
      </w:pPr>
      <w:r w:rsidRPr="003F64E6">
        <w:rPr>
          <w:rFonts w:ascii="Times New Roman" w:hAnsi="Times New Roman" w:cs="Times New Roman"/>
          <w:b/>
          <w:sz w:val="24"/>
        </w:rPr>
        <w:t>Opposed Matter</w:t>
      </w:r>
    </w:p>
    <w:p w14:paraId="20E3C9B1" w14:textId="77777777" w:rsidR="003F64E6" w:rsidRDefault="003F64E6" w:rsidP="003F64E6">
      <w:pPr>
        <w:spacing w:line="240" w:lineRule="auto"/>
        <w:contextualSpacing/>
        <w:jc w:val="both"/>
        <w:rPr>
          <w:rFonts w:ascii="Times New Roman" w:hAnsi="Times New Roman" w:cs="Times New Roman"/>
          <w:sz w:val="24"/>
        </w:rPr>
      </w:pPr>
    </w:p>
    <w:p w14:paraId="5DBD5EB2" w14:textId="77777777" w:rsidR="003F64E6" w:rsidRDefault="00795736" w:rsidP="003F64E6">
      <w:pPr>
        <w:spacing w:line="240" w:lineRule="auto"/>
        <w:contextualSpacing/>
        <w:jc w:val="both"/>
        <w:rPr>
          <w:rFonts w:ascii="Times New Roman" w:hAnsi="Times New Roman" w:cs="Times New Roman"/>
          <w:sz w:val="24"/>
        </w:rPr>
      </w:pPr>
      <w:proofErr w:type="spellStart"/>
      <w:r w:rsidRPr="00795736">
        <w:rPr>
          <w:rFonts w:ascii="Times New Roman" w:hAnsi="Times New Roman" w:cs="Times New Roman"/>
          <w:i/>
          <w:sz w:val="24"/>
        </w:rPr>
        <w:t>Ms</w:t>
      </w:r>
      <w:proofErr w:type="spellEnd"/>
      <w:r w:rsidRPr="00795736">
        <w:rPr>
          <w:rFonts w:ascii="Times New Roman" w:hAnsi="Times New Roman" w:cs="Times New Roman"/>
          <w:i/>
          <w:sz w:val="24"/>
        </w:rPr>
        <w:t xml:space="preserve"> J </w:t>
      </w:r>
      <w:proofErr w:type="spellStart"/>
      <w:r w:rsidRPr="00795736">
        <w:rPr>
          <w:rFonts w:ascii="Times New Roman" w:hAnsi="Times New Roman" w:cs="Times New Roman"/>
          <w:i/>
          <w:sz w:val="24"/>
        </w:rPr>
        <w:t>Mugova</w:t>
      </w:r>
      <w:proofErr w:type="spellEnd"/>
      <w:r>
        <w:rPr>
          <w:rFonts w:ascii="Times New Roman" w:hAnsi="Times New Roman" w:cs="Times New Roman"/>
          <w:sz w:val="24"/>
        </w:rPr>
        <w:t xml:space="preserve"> </w:t>
      </w:r>
      <w:r w:rsidR="003F64E6">
        <w:rPr>
          <w:rFonts w:ascii="Times New Roman" w:hAnsi="Times New Roman" w:cs="Times New Roman"/>
          <w:sz w:val="24"/>
        </w:rPr>
        <w:t>for the applicant</w:t>
      </w:r>
    </w:p>
    <w:p w14:paraId="44E6B2DF" w14:textId="77777777" w:rsidR="003F64E6" w:rsidRDefault="00795736" w:rsidP="003F64E6">
      <w:pPr>
        <w:spacing w:line="240" w:lineRule="auto"/>
        <w:contextualSpacing/>
        <w:jc w:val="both"/>
        <w:rPr>
          <w:rFonts w:ascii="Times New Roman" w:hAnsi="Times New Roman" w:cs="Times New Roman"/>
          <w:sz w:val="24"/>
        </w:rPr>
      </w:pPr>
      <w:proofErr w:type="spellStart"/>
      <w:r w:rsidRPr="00795736">
        <w:rPr>
          <w:rFonts w:ascii="Times New Roman" w:hAnsi="Times New Roman" w:cs="Times New Roman"/>
          <w:i/>
          <w:sz w:val="24"/>
        </w:rPr>
        <w:t>Ms</w:t>
      </w:r>
      <w:proofErr w:type="spellEnd"/>
      <w:r w:rsidRPr="00795736">
        <w:rPr>
          <w:rFonts w:ascii="Times New Roman" w:hAnsi="Times New Roman" w:cs="Times New Roman"/>
          <w:i/>
          <w:sz w:val="24"/>
        </w:rPr>
        <w:t xml:space="preserve"> K </w:t>
      </w:r>
      <w:proofErr w:type="spellStart"/>
      <w:r w:rsidRPr="00795736">
        <w:rPr>
          <w:rFonts w:ascii="Times New Roman" w:hAnsi="Times New Roman" w:cs="Times New Roman"/>
          <w:i/>
          <w:sz w:val="24"/>
        </w:rPr>
        <w:t>Mahereni</w:t>
      </w:r>
      <w:proofErr w:type="spellEnd"/>
      <w:r>
        <w:rPr>
          <w:rFonts w:ascii="Times New Roman" w:hAnsi="Times New Roman" w:cs="Times New Roman"/>
          <w:sz w:val="24"/>
        </w:rPr>
        <w:t xml:space="preserve"> </w:t>
      </w:r>
      <w:r w:rsidR="003F64E6">
        <w:rPr>
          <w:rFonts w:ascii="Times New Roman" w:hAnsi="Times New Roman" w:cs="Times New Roman"/>
          <w:sz w:val="24"/>
        </w:rPr>
        <w:t xml:space="preserve">for the </w:t>
      </w:r>
      <w:r>
        <w:rPr>
          <w:rFonts w:ascii="Times New Roman" w:hAnsi="Times New Roman" w:cs="Times New Roman"/>
          <w:sz w:val="24"/>
        </w:rPr>
        <w:t>2</w:t>
      </w:r>
      <w:r w:rsidRPr="00795736">
        <w:rPr>
          <w:rFonts w:ascii="Times New Roman" w:hAnsi="Times New Roman" w:cs="Times New Roman"/>
          <w:sz w:val="24"/>
          <w:vertAlign w:val="superscript"/>
        </w:rPr>
        <w:t>nd</w:t>
      </w:r>
      <w:r>
        <w:rPr>
          <w:rFonts w:ascii="Times New Roman" w:hAnsi="Times New Roman" w:cs="Times New Roman"/>
          <w:sz w:val="24"/>
        </w:rPr>
        <w:t xml:space="preserve"> respondent</w:t>
      </w:r>
    </w:p>
    <w:p w14:paraId="6168F78A" w14:textId="77777777" w:rsidR="003F64E6" w:rsidRDefault="003F64E6" w:rsidP="003F64E6">
      <w:pPr>
        <w:spacing w:line="240" w:lineRule="auto"/>
        <w:contextualSpacing/>
        <w:jc w:val="both"/>
        <w:rPr>
          <w:rFonts w:ascii="Times New Roman" w:hAnsi="Times New Roman" w:cs="Times New Roman"/>
          <w:sz w:val="24"/>
        </w:rPr>
      </w:pPr>
    </w:p>
    <w:p w14:paraId="12ED63DE" w14:textId="77777777" w:rsidR="003F64E6" w:rsidRDefault="003F64E6" w:rsidP="003F64E6">
      <w:pPr>
        <w:spacing w:line="240" w:lineRule="auto"/>
        <w:contextualSpacing/>
        <w:jc w:val="both"/>
        <w:rPr>
          <w:rFonts w:ascii="Times New Roman" w:hAnsi="Times New Roman" w:cs="Times New Roman"/>
          <w:sz w:val="24"/>
        </w:rPr>
      </w:pPr>
    </w:p>
    <w:p w14:paraId="381D035B" w14:textId="77777777" w:rsidR="003F64E6" w:rsidRDefault="003F64E6"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3F64E6">
        <w:rPr>
          <w:rFonts w:ascii="Times New Roman" w:hAnsi="Times New Roman" w:cs="Times New Roman"/>
          <w:b/>
          <w:sz w:val="24"/>
        </w:rPr>
        <w:t>MOYO J:</w:t>
      </w:r>
      <w:r w:rsidR="000C5F87">
        <w:rPr>
          <w:rFonts w:ascii="Times New Roman" w:hAnsi="Times New Roman" w:cs="Times New Roman"/>
          <w:b/>
          <w:sz w:val="24"/>
        </w:rPr>
        <w:tab/>
      </w:r>
      <w:r w:rsidR="000C5F87">
        <w:rPr>
          <w:rFonts w:ascii="Times New Roman" w:hAnsi="Times New Roman" w:cs="Times New Roman"/>
          <w:sz w:val="24"/>
        </w:rPr>
        <w:t>This is an application for leave to set HC 1494/16 on the unopposed roll.</w:t>
      </w:r>
    </w:p>
    <w:p w14:paraId="4C168D61" w14:textId="77777777" w:rsidR="0045347B" w:rsidRDefault="00897ABC" w:rsidP="003F64E6">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45347B">
        <w:rPr>
          <w:rFonts w:ascii="Times New Roman" w:hAnsi="Times New Roman" w:cs="Times New Roman"/>
          <w:sz w:val="24"/>
        </w:rPr>
        <w:t xml:space="preserve">HC </w:t>
      </w:r>
      <w:r w:rsidR="000C5F87">
        <w:rPr>
          <w:rFonts w:ascii="Times New Roman" w:hAnsi="Times New Roman" w:cs="Times New Roman"/>
          <w:sz w:val="24"/>
        </w:rPr>
        <w:t>1494/16 is an application by the applicants for a dismissal</w:t>
      </w:r>
      <w:r w:rsidR="0045347B">
        <w:rPr>
          <w:rFonts w:ascii="Times New Roman" w:hAnsi="Times New Roman" w:cs="Times New Roman"/>
          <w:sz w:val="24"/>
        </w:rPr>
        <w:t xml:space="preserve"> of HC</w:t>
      </w:r>
      <w:r w:rsidR="005F731C">
        <w:rPr>
          <w:rFonts w:ascii="Times New Roman" w:hAnsi="Times New Roman" w:cs="Times New Roman"/>
          <w:sz w:val="24"/>
        </w:rPr>
        <w:t>1806/12</w:t>
      </w:r>
      <w:r w:rsidR="00710639">
        <w:rPr>
          <w:rFonts w:ascii="Times New Roman" w:hAnsi="Times New Roman" w:cs="Times New Roman"/>
          <w:sz w:val="24"/>
        </w:rPr>
        <w:t xml:space="preserve"> </w:t>
      </w:r>
      <w:r w:rsidR="0045347B">
        <w:rPr>
          <w:rFonts w:ascii="Times New Roman" w:hAnsi="Times New Roman" w:cs="Times New Roman"/>
          <w:sz w:val="24"/>
        </w:rPr>
        <w:t xml:space="preserve">  for want of prosecution.  </w:t>
      </w:r>
      <w:r w:rsidR="00710639">
        <w:rPr>
          <w:rFonts w:ascii="Times New Roman" w:hAnsi="Times New Roman" w:cs="Times New Roman"/>
          <w:sz w:val="24"/>
        </w:rPr>
        <w:t>There</w:t>
      </w:r>
      <w:r w:rsidR="0045347B">
        <w:rPr>
          <w:rFonts w:ascii="Times New Roman" w:hAnsi="Times New Roman" w:cs="Times New Roman"/>
          <w:sz w:val="24"/>
        </w:rPr>
        <w:t xml:space="preserve"> is apparently a long history of litigation between the parties.</w:t>
      </w:r>
    </w:p>
    <w:p w14:paraId="183A9B7B" w14:textId="77777777" w:rsidR="0045347B" w:rsidRDefault="0045347B"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On 4 June 2012 the first, second and third respondents filed an urgent chamber application </w:t>
      </w:r>
      <w:r w:rsidR="00710639">
        <w:rPr>
          <w:rFonts w:ascii="Times New Roman" w:hAnsi="Times New Roman" w:cs="Times New Roman"/>
          <w:sz w:val="24"/>
        </w:rPr>
        <w:t>wherein</w:t>
      </w:r>
      <w:r>
        <w:rPr>
          <w:rFonts w:ascii="Times New Roman" w:hAnsi="Times New Roman" w:cs="Times New Roman"/>
          <w:sz w:val="24"/>
        </w:rPr>
        <w:t xml:space="preserve"> they sought a final order that third respondent be declared the lawful owner of a Model T Ford motor vehicle and in the interim for an order that applicant surrenders that vehicle to the second respondent for safe keeping.  The urgent chamber application was opposed.  The respondents later filed an application for contempt of court, which was also opposed.  The Deputy Sheriff subsequently took possession of the model T Ford and stored it at his premises to date.  The matter </w:t>
      </w:r>
      <w:r w:rsidR="005F731C">
        <w:rPr>
          <w:rFonts w:ascii="Times New Roman" w:hAnsi="Times New Roman" w:cs="Times New Roman"/>
          <w:sz w:val="24"/>
        </w:rPr>
        <w:t xml:space="preserve">in </w:t>
      </w:r>
      <w:r>
        <w:rPr>
          <w:rFonts w:ascii="Times New Roman" w:hAnsi="Times New Roman" w:cs="Times New Roman"/>
          <w:sz w:val="24"/>
        </w:rPr>
        <w:t xml:space="preserve">HC 1806/12 has been dormant ever since then.  The applicant then filed the application in HC 1494/16 seeking a dismissal of HC 1806/12 for want of prosecution.  Respondents opposed that application but later did not file their heads of argument and are thus barred.  However, because the opposing affidavits are still in that record, applicant cannot deal </w:t>
      </w:r>
      <w:r>
        <w:rPr>
          <w:rFonts w:ascii="Times New Roman" w:hAnsi="Times New Roman" w:cs="Times New Roman"/>
          <w:sz w:val="24"/>
        </w:rPr>
        <w:lastRenderedPageBreak/>
        <w:t xml:space="preserve">with the matter as unopposed, </w:t>
      </w:r>
      <w:r w:rsidR="00D710C2">
        <w:rPr>
          <w:rFonts w:ascii="Times New Roman" w:hAnsi="Times New Roman" w:cs="Times New Roman"/>
          <w:sz w:val="24"/>
        </w:rPr>
        <w:t>causing</w:t>
      </w:r>
      <w:r>
        <w:rPr>
          <w:rFonts w:ascii="Times New Roman" w:hAnsi="Times New Roman" w:cs="Times New Roman"/>
          <w:sz w:val="24"/>
        </w:rPr>
        <w:t xml:space="preserve"> applicant </w:t>
      </w:r>
      <w:r w:rsidR="00D710C2">
        <w:rPr>
          <w:rFonts w:ascii="Times New Roman" w:hAnsi="Times New Roman" w:cs="Times New Roman"/>
          <w:sz w:val="24"/>
        </w:rPr>
        <w:t xml:space="preserve">to </w:t>
      </w:r>
      <w:r>
        <w:rPr>
          <w:rFonts w:ascii="Times New Roman" w:hAnsi="Times New Roman" w:cs="Times New Roman"/>
          <w:sz w:val="24"/>
        </w:rPr>
        <w:t>filing the present application which in essence is for leave to set the matter on the unopposed roll.</w:t>
      </w:r>
    </w:p>
    <w:p w14:paraId="1B6B7DFA" w14:textId="77777777" w:rsidR="000C5F87" w:rsidRDefault="0045347B"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Respondents do not dispute these facts.  They however, raise a point </w:t>
      </w:r>
      <w:r w:rsidRPr="007E4EE6">
        <w:rPr>
          <w:rFonts w:ascii="Times New Roman" w:hAnsi="Times New Roman" w:cs="Times New Roman"/>
          <w:i/>
          <w:sz w:val="24"/>
        </w:rPr>
        <w:t xml:space="preserve">in </w:t>
      </w:r>
      <w:proofErr w:type="spellStart"/>
      <w:r w:rsidRPr="007E4EE6">
        <w:rPr>
          <w:rFonts w:ascii="Times New Roman" w:hAnsi="Times New Roman" w:cs="Times New Roman"/>
          <w:i/>
          <w:sz w:val="24"/>
        </w:rPr>
        <w:t>limine</w:t>
      </w:r>
      <w:proofErr w:type="spellEnd"/>
      <w:r>
        <w:rPr>
          <w:rFonts w:ascii="Times New Roman" w:hAnsi="Times New Roman" w:cs="Times New Roman"/>
          <w:sz w:val="24"/>
        </w:rPr>
        <w:t xml:space="preserve"> to the effect that the lawyers who represented applicant in the main matter did not renounce agency prior to the current lawyers taking over and filing the application for dismissal for want of prosecution on applicant’s behalf.  They have raised a point </w:t>
      </w:r>
      <w:r w:rsidRPr="007E4EE6">
        <w:rPr>
          <w:rFonts w:ascii="Times New Roman" w:hAnsi="Times New Roman" w:cs="Times New Roman"/>
          <w:i/>
          <w:sz w:val="24"/>
        </w:rPr>
        <w:t xml:space="preserve">in </w:t>
      </w:r>
      <w:proofErr w:type="spellStart"/>
      <w:r w:rsidRPr="007E4EE6">
        <w:rPr>
          <w:rFonts w:ascii="Times New Roman" w:hAnsi="Times New Roman" w:cs="Times New Roman"/>
          <w:i/>
          <w:sz w:val="24"/>
        </w:rPr>
        <w:t>limine</w:t>
      </w:r>
      <w:proofErr w:type="spellEnd"/>
      <w:r>
        <w:rPr>
          <w:rFonts w:ascii="Times New Roman" w:hAnsi="Times New Roman" w:cs="Times New Roman"/>
          <w:sz w:val="24"/>
        </w:rPr>
        <w:t xml:space="preserve"> with regard to the issue of lack of renunciation</w:t>
      </w:r>
      <w:r w:rsidR="00D710C2">
        <w:rPr>
          <w:rFonts w:ascii="Times New Roman" w:hAnsi="Times New Roman" w:cs="Times New Roman"/>
          <w:sz w:val="24"/>
        </w:rPr>
        <w:t xml:space="preserve"> and a</w:t>
      </w:r>
      <w:r>
        <w:rPr>
          <w:rFonts w:ascii="Times New Roman" w:hAnsi="Times New Roman" w:cs="Times New Roman"/>
          <w:sz w:val="24"/>
        </w:rPr>
        <w:t>ssumption of agency</w:t>
      </w:r>
      <w:r w:rsidR="00D710C2">
        <w:rPr>
          <w:rFonts w:ascii="Times New Roman" w:hAnsi="Times New Roman" w:cs="Times New Roman"/>
          <w:sz w:val="24"/>
        </w:rPr>
        <w:t xml:space="preserve">.  They </w:t>
      </w:r>
      <w:r>
        <w:rPr>
          <w:rFonts w:ascii="Times New Roman" w:hAnsi="Times New Roman" w:cs="Times New Roman"/>
          <w:sz w:val="24"/>
        </w:rPr>
        <w:t>contend that applica</w:t>
      </w:r>
      <w:r w:rsidR="00D710C2">
        <w:rPr>
          <w:rFonts w:ascii="Times New Roman" w:hAnsi="Times New Roman" w:cs="Times New Roman"/>
          <w:sz w:val="24"/>
        </w:rPr>
        <w:t>nt</w:t>
      </w:r>
      <w:r>
        <w:rPr>
          <w:rFonts w:ascii="Times New Roman" w:hAnsi="Times New Roman" w:cs="Times New Roman"/>
          <w:sz w:val="24"/>
        </w:rPr>
        <w:t xml:space="preserve"> should not be heard on that basis.  This is an insignificant point in </w:t>
      </w:r>
      <w:r w:rsidR="00D710C2">
        <w:rPr>
          <w:rFonts w:ascii="Times New Roman" w:hAnsi="Times New Roman" w:cs="Times New Roman"/>
          <w:sz w:val="24"/>
        </w:rPr>
        <w:t xml:space="preserve">my </w:t>
      </w:r>
      <w:r>
        <w:rPr>
          <w:rFonts w:ascii="Times New Roman" w:hAnsi="Times New Roman" w:cs="Times New Roman"/>
          <w:sz w:val="24"/>
        </w:rPr>
        <w:t xml:space="preserve">view, at the best the respondents could have sought that the applicant’s lawyers formalize this aspect not to submit that therefore the matter cannot take off as a result of that.  The renunciation of agency is obviously filed by the previous lawyers who are not before me currently neither are they interested anymore as regards the applicant’s case.  The assumption as the applicant’s counsel submits relates to the main matter and yet they represent the applicant in the application being the subject matter of these proceedings.  I will not delve into </w:t>
      </w:r>
      <w:r w:rsidR="007E4EE6">
        <w:rPr>
          <w:rFonts w:ascii="Times New Roman" w:hAnsi="Times New Roman" w:cs="Times New Roman"/>
          <w:sz w:val="24"/>
        </w:rPr>
        <w:t xml:space="preserve">whether the applicant’s lawyers should have filed assumption or not in terms of the rules as I consider this point to be so insignificant that it cannot be the subject of a debate and also be the basis upon which a party should be denied audience.  Both sets of lawyers had a mandate from the applicant, the applicant is the litigant in this matter, the substance of this application and any other by applicant, directly affects applicant’s interests, therefore to preclude applicant, who is fully represented in this court, from being </w:t>
      </w:r>
      <w:r w:rsidR="000B42E2">
        <w:rPr>
          <w:rFonts w:ascii="Times New Roman" w:hAnsi="Times New Roman" w:cs="Times New Roman"/>
          <w:sz w:val="24"/>
        </w:rPr>
        <w:t>heard</w:t>
      </w:r>
      <w:r w:rsidR="007E4EE6">
        <w:rPr>
          <w:rFonts w:ascii="Times New Roman" w:hAnsi="Times New Roman" w:cs="Times New Roman"/>
          <w:sz w:val="24"/>
        </w:rPr>
        <w:t xml:space="preserve"> simply because a technical piece of paper in the form of an assumption </w:t>
      </w:r>
      <w:r w:rsidR="00C14F48">
        <w:rPr>
          <w:rFonts w:ascii="Times New Roman" w:hAnsi="Times New Roman" w:cs="Times New Roman"/>
          <w:sz w:val="24"/>
        </w:rPr>
        <w:t xml:space="preserve">of agency was not filed would not be in the interests of justice.  I say this also bearing in mind that the point raised is also debatable in so far as whether in a subsequent ancillary </w:t>
      </w:r>
      <w:r w:rsidR="000949D2">
        <w:rPr>
          <w:rFonts w:ascii="Times New Roman" w:hAnsi="Times New Roman" w:cs="Times New Roman"/>
          <w:sz w:val="24"/>
        </w:rPr>
        <w:t xml:space="preserve">matter </w:t>
      </w:r>
      <w:r w:rsidR="00C14F48">
        <w:rPr>
          <w:rFonts w:ascii="Times New Roman" w:hAnsi="Times New Roman" w:cs="Times New Roman"/>
          <w:sz w:val="24"/>
        </w:rPr>
        <w:t xml:space="preserve">lawyers were duty bound to file an assumption.  I hold the view that even if they were, a whole case cannot be thrown out on that basis </w:t>
      </w:r>
      <w:r w:rsidR="000949D2">
        <w:rPr>
          <w:rFonts w:ascii="Times New Roman" w:hAnsi="Times New Roman" w:cs="Times New Roman"/>
          <w:sz w:val="24"/>
        </w:rPr>
        <w:t>alone</w:t>
      </w:r>
      <w:r w:rsidR="00C14F48">
        <w:rPr>
          <w:rFonts w:ascii="Times New Roman" w:hAnsi="Times New Roman" w:cs="Times New Roman"/>
          <w:sz w:val="24"/>
        </w:rPr>
        <w:t xml:space="preserve">.  That will be enslaving this court to the rules and yet the rules were made for the court and not </w:t>
      </w:r>
      <w:r w:rsidR="00C14F48" w:rsidRPr="0075335D">
        <w:rPr>
          <w:rFonts w:ascii="Times New Roman" w:hAnsi="Times New Roman" w:cs="Times New Roman"/>
          <w:i/>
          <w:sz w:val="24"/>
        </w:rPr>
        <w:t xml:space="preserve">vice </w:t>
      </w:r>
      <w:r w:rsidR="0075335D" w:rsidRPr="0075335D">
        <w:rPr>
          <w:rFonts w:ascii="Times New Roman" w:hAnsi="Times New Roman" w:cs="Times New Roman"/>
          <w:i/>
          <w:sz w:val="24"/>
        </w:rPr>
        <w:t>versa</w:t>
      </w:r>
      <w:r w:rsidR="00C14F48">
        <w:rPr>
          <w:rFonts w:ascii="Times New Roman" w:hAnsi="Times New Roman" w:cs="Times New Roman"/>
          <w:sz w:val="24"/>
        </w:rPr>
        <w:t xml:space="preserve">.  I hold this view having been persuaded by the decision in the case of </w:t>
      </w:r>
      <w:r w:rsidR="00C14F48" w:rsidRPr="0075335D">
        <w:rPr>
          <w:rFonts w:ascii="Times New Roman" w:hAnsi="Times New Roman" w:cs="Times New Roman"/>
          <w:i/>
          <w:sz w:val="24"/>
        </w:rPr>
        <w:t>Trans African Insurance Co Ltd</w:t>
      </w:r>
      <w:r w:rsidR="00C14F48">
        <w:rPr>
          <w:rFonts w:ascii="Times New Roman" w:hAnsi="Times New Roman" w:cs="Times New Roman"/>
          <w:sz w:val="24"/>
        </w:rPr>
        <w:t xml:space="preserve"> v </w:t>
      </w:r>
      <w:r w:rsidR="00C14F48" w:rsidRPr="0075335D">
        <w:rPr>
          <w:rFonts w:ascii="Times New Roman" w:hAnsi="Times New Roman" w:cs="Times New Roman"/>
          <w:i/>
          <w:sz w:val="24"/>
        </w:rPr>
        <w:t xml:space="preserve">Maluleka </w:t>
      </w:r>
      <w:r w:rsidR="00C14F48">
        <w:rPr>
          <w:rFonts w:ascii="Times New Roman" w:hAnsi="Times New Roman" w:cs="Times New Roman"/>
          <w:sz w:val="24"/>
        </w:rPr>
        <w:t xml:space="preserve">1956 (2) SA 273 AD at 278 wherein </w:t>
      </w:r>
      <w:r w:rsidR="00C14F48" w:rsidRPr="0075335D">
        <w:rPr>
          <w:rFonts w:ascii="Times New Roman" w:hAnsi="Times New Roman" w:cs="Times New Roman"/>
        </w:rPr>
        <w:t xml:space="preserve">SCHREINER JA </w:t>
      </w:r>
      <w:r w:rsidR="00C14F48">
        <w:rPr>
          <w:rFonts w:ascii="Times New Roman" w:hAnsi="Times New Roman" w:cs="Times New Roman"/>
          <w:sz w:val="24"/>
        </w:rPr>
        <w:t>had this to say:</w:t>
      </w:r>
    </w:p>
    <w:p w14:paraId="05CC8D75" w14:textId="77777777" w:rsidR="00C14F48" w:rsidRDefault="00C14F48" w:rsidP="0075335D">
      <w:pPr>
        <w:spacing w:line="240" w:lineRule="auto"/>
        <w:ind w:left="720"/>
        <w:contextualSpacing/>
        <w:jc w:val="both"/>
        <w:rPr>
          <w:rFonts w:ascii="Times New Roman" w:hAnsi="Times New Roman" w:cs="Times New Roman"/>
          <w:sz w:val="24"/>
        </w:rPr>
      </w:pPr>
      <w:r>
        <w:rPr>
          <w:rFonts w:ascii="Times New Roman" w:hAnsi="Times New Roman" w:cs="Times New Roman"/>
          <w:sz w:val="24"/>
        </w:rPr>
        <w:lastRenderedPageBreak/>
        <w:t>“Technical objections to less than perfect procedural steps should not be permitted, in the absence of prejudice, to interfere with the expeditious and, if possible inexpensive decision of cases on the merits.”</w:t>
      </w:r>
    </w:p>
    <w:p w14:paraId="135B665F" w14:textId="77777777" w:rsidR="0075335D" w:rsidRDefault="0075335D" w:rsidP="0075335D">
      <w:pPr>
        <w:spacing w:line="240" w:lineRule="auto"/>
        <w:ind w:left="720"/>
        <w:contextualSpacing/>
        <w:jc w:val="both"/>
        <w:rPr>
          <w:rFonts w:ascii="Times New Roman" w:hAnsi="Times New Roman" w:cs="Times New Roman"/>
          <w:sz w:val="24"/>
        </w:rPr>
      </w:pPr>
    </w:p>
    <w:p w14:paraId="34730C13" w14:textId="77777777" w:rsidR="00C14F48" w:rsidRDefault="00C14F48"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t>No prejudice has been shown by respondents in the technical omission that they contend exists.</w:t>
      </w:r>
    </w:p>
    <w:p w14:paraId="3CA30C45" w14:textId="77777777" w:rsidR="00C14F48" w:rsidRDefault="00C14F48"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Therefore there is no need to bog down the wheels of justice on a </w:t>
      </w:r>
      <w:r w:rsidR="006362A9">
        <w:rPr>
          <w:rFonts w:ascii="Times New Roman" w:hAnsi="Times New Roman" w:cs="Times New Roman"/>
          <w:sz w:val="24"/>
        </w:rPr>
        <w:t xml:space="preserve">small </w:t>
      </w:r>
      <w:r w:rsidR="00850D29">
        <w:rPr>
          <w:rFonts w:ascii="Times New Roman" w:hAnsi="Times New Roman" w:cs="Times New Roman"/>
          <w:sz w:val="24"/>
        </w:rPr>
        <w:t>technical argument</w:t>
      </w:r>
      <w:r>
        <w:rPr>
          <w:rFonts w:ascii="Times New Roman" w:hAnsi="Times New Roman" w:cs="Times New Roman"/>
          <w:sz w:val="24"/>
        </w:rPr>
        <w:t>.</w:t>
      </w:r>
    </w:p>
    <w:p w14:paraId="561A84F6" w14:textId="77777777" w:rsidR="00C14F48" w:rsidRDefault="00C14F48"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t>On the merits, respondents have already admitted that they have left the case in HC 1806/12 to be dormant without finalizing it as it has been overtaken by events.  They have also admitted tha</w:t>
      </w:r>
      <w:r w:rsidR="00D86010">
        <w:rPr>
          <w:rFonts w:ascii="Times New Roman" w:hAnsi="Times New Roman" w:cs="Times New Roman"/>
          <w:sz w:val="24"/>
        </w:rPr>
        <w:t>t</w:t>
      </w:r>
      <w:r>
        <w:rPr>
          <w:rFonts w:ascii="Times New Roman" w:hAnsi="Times New Roman" w:cs="Times New Roman"/>
          <w:sz w:val="24"/>
        </w:rPr>
        <w:t xml:space="preserve"> they did not file heads of argument in HC 1494/16 as alleged by the </w:t>
      </w:r>
      <w:r w:rsidR="00D86010">
        <w:rPr>
          <w:rFonts w:ascii="Times New Roman" w:hAnsi="Times New Roman" w:cs="Times New Roman"/>
          <w:sz w:val="24"/>
        </w:rPr>
        <w:t>applicants</w:t>
      </w:r>
      <w:r>
        <w:rPr>
          <w:rFonts w:ascii="Times New Roman" w:hAnsi="Times New Roman" w:cs="Times New Roman"/>
          <w:sz w:val="24"/>
        </w:rPr>
        <w:t>.  There must be finality in li</w:t>
      </w:r>
      <w:r w:rsidR="00D86010">
        <w:rPr>
          <w:rFonts w:ascii="Times New Roman" w:hAnsi="Times New Roman" w:cs="Times New Roman"/>
          <w:sz w:val="24"/>
        </w:rPr>
        <w:t xml:space="preserve">tigation, </w:t>
      </w:r>
      <w:r w:rsidR="00850D29">
        <w:rPr>
          <w:rFonts w:ascii="Times New Roman" w:hAnsi="Times New Roman" w:cs="Times New Roman"/>
          <w:sz w:val="24"/>
        </w:rPr>
        <w:t xml:space="preserve">and </w:t>
      </w:r>
      <w:r w:rsidR="00D86010">
        <w:rPr>
          <w:rFonts w:ascii="Times New Roman" w:hAnsi="Times New Roman" w:cs="Times New Roman"/>
          <w:sz w:val="24"/>
        </w:rPr>
        <w:t>therefore applicant s</w:t>
      </w:r>
      <w:r>
        <w:rPr>
          <w:rFonts w:ascii="Times New Roman" w:hAnsi="Times New Roman" w:cs="Times New Roman"/>
          <w:sz w:val="24"/>
        </w:rPr>
        <w:t xml:space="preserve">hould be granted leave to set the application in HC 1494/16 on the unopposed roll and have the original </w:t>
      </w:r>
      <w:r w:rsidR="0075335D">
        <w:rPr>
          <w:rFonts w:ascii="Times New Roman" w:hAnsi="Times New Roman" w:cs="Times New Roman"/>
          <w:sz w:val="24"/>
        </w:rPr>
        <w:t>matter that is</w:t>
      </w:r>
      <w:r w:rsidR="00850D29">
        <w:rPr>
          <w:rFonts w:ascii="Times New Roman" w:hAnsi="Times New Roman" w:cs="Times New Roman"/>
          <w:sz w:val="24"/>
        </w:rPr>
        <w:t>,</w:t>
      </w:r>
      <w:r w:rsidR="0075335D">
        <w:rPr>
          <w:rFonts w:ascii="Times New Roman" w:hAnsi="Times New Roman" w:cs="Times New Roman"/>
          <w:sz w:val="24"/>
        </w:rPr>
        <w:t xml:space="preserve"> HC 1806/12 dismissed for want of prosecution so that there is closure.</w:t>
      </w:r>
    </w:p>
    <w:p w14:paraId="526BBFA9" w14:textId="77777777" w:rsidR="0075335D" w:rsidRDefault="0075335D" w:rsidP="003F64E6">
      <w:pPr>
        <w:spacing w:line="360" w:lineRule="auto"/>
        <w:contextualSpacing/>
        <w:jc w:val="both"/>
        <w:rPr>
          <w:rFonts w:ascii="Times New Roman" w:hAnsi="Times New Roman" w:cs="Times New Roman"/>
          <w:sz w:val="24"/>
        </w:rPr>
      </w:pPr>
      <w:r>
        <w:rPr>
          <w:rFonts w:ascii="Times New Roman" w:hAnsi="Times New Roman" w:cs="Times New Roman"/>
          <w:sz w:val="24"/>
        </w:rPr>
        <w:tab/>
        <w:t>I accordingly grant an order follows:</w:t>
      </w:r>
    </w:p>
    <w:p w14:paraId="0AA49EA0" w14:textId="77777777" w:rsidR="0075335D" w:rsidRDefault="0075335D" w:rsidP="0075335D">
      <w:pPr>
        <w:spacing w:line="360" w:lineRule="auto"/>
        <w:ind w:left="720" w:hanging="720"/>
        <w:jc w:val="both"/>
        <w:rPr>
          <w:rFonts w:ascii="Times New Roman" w:hAnsi="Times New Roman" w:cs="Times New Roman"/>
          <w:sz w:val="24"/>
        </w:rPr>
      </w:pPr>
      <w:r w:rsidRPr="0075335D">
        <w:rPr>
          <w:rFonts w:ascii="Times New Roman" w:hAnsi="Times New Roman" w:cs="Times New Roman"/>
          <w:sz w:val="24"/>
        </w:rPr>
        <w:t>1)</w:t>
      </w:r>
      <w:r>
        <w:rPr>
          <w:rFonts w:ascii="Times New Roman" w:hAnsi="Times New Roman" w:cs="Times New Roman"/>
          <w:sz w:val="24"/>
        </w:rPr>
        <w:tab/>
        <w:t>The applicant be and is hereby granted leave to set HC 1494/16 on the unopposed roll without any further reference to the respondents.</w:t>
      </w:r>
    </w:p>
    <w:p w14:paraId="686606A3" w14:textId="77777777" w:rsidR="0075335D" w:rsidRDefault="0075335D" w:rsidP="0075335D">
      <w:pPr>
        <w:spacing w:line="360" w:lineRule="auto"/>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That costs be in the cause.</w:t>
      </w:r>
    </w:p>
    <w:p w14:paraId="2D1982FE" w14:textId="77777777" w:rsidR="0075335D" w:rsidRDefault="0075335D" w:rsidP="0075335D">
      <w:pPr>
        <w:spacing w:line="360" w:lineRule="auto"/>
        <w:jc w:val="both"/>
        <w:rPr>
          <w:rFonts w:ascii="Times New Roman" w:hAnsi="Times New Roman" w:cs="Times New Roman"/>
          <w:sz w:val="24"/>
        </w:rPr>
      </w:pPr>
    </w:p>
    <w:p w14:paraId="46C313B4" w14:textId="77777777" w:rsidR="0075335D" w:rsidRPr="0075335D" w:rsidRDefault="0075335D" w:rsidP="0075335D">
      <w:pPr>
        <w:spacing w:line="240" w:lineRule="auto"/>
        <w:contextualSpacing/>
        <w:jc w:val="both"/>
        <w:rPr>
          <w:rFonts w:ascii="Times New Roman" w:hAnsi="Times New Roman" w:cs="Times New Roman"/>
        </w:rPr>
      </w:pPr>
      <w:r w:rsidRPr="0075335D">
        <w:rPr>
          <w:rFonts w:ascii="Times New Roman" w:hAnsi="Times New Roman" w:cs="Times New Roman"/>
          <w:i/>
        </w:rPr>
        <w:t xml:space="preserve">Patel </w:t>
      </w:r>
      <w:proofErr w:type="spellStart"/>
      <w:r w:rsidRPr="0075335D">
        <w:rPr>
          <w:rFonts w:ascii="Times New Roman" w:hAnsi="Times New Roman" w:cs="Times New Roman"/>
          <w:i/>
        </w:rPr>
        <w:t>Ferrao</w:t>
      </w:r>
      <w:proofErr w:type="spellEnd"/>
      <w:r w:rsidRPr="0075335D">
        <w:rPr>
          <w:rFonts w:ascii="Times New Roman" w:hAnsi="Times New Roman" w:cs="Times New Roman"/>
          <w:i/>
        </w:rPr>
        <w:t xml:space="preserve"> &amp; Associates C/o Calderwood, Bryce, Hendrie &amp; partners</w:t>
      </w:r>
      <w:r w:rsidRPr="0075335D">
        <w:rPr>
          <w:rFonts w:ascii="Times New Roman" w:hAnsi="Times New Roman" w:cs="Times New Roman"/>
        </w:rPr>
        <w:t>, applicant’s legal practitioners</w:t>
      </w:r>
    </w:p>
    <w:p w14:paraId="44D7BA88" w14:textId="77777777" w:rsidR="0075335D" w:rsidRPr="0075335D" w:rsidRDefault="0075335D" w:rsidP="0075335D">
      <w:pPr>
        <w:spacing w:line="240" w:lineRule="auto"/>
        <w:contextualSpacing/>
        <w:jc w:val="both"/>
        <w:rPr>
          <w:rFonts w:ascii="Times New Roman" w:hAnsi="Times New Roman" w:cs="Times New Roman"/>
        </w:rPr>
      </w:pPr>
      <w:proofErr w:type="spellStart"/>
      <w:r w:rsidRPr="0075335D">
        <w:rPr>
          <w:rFonts w:ascii="Times New Roman" w:hAnsi="Times New Roman" w:cs="Times New Roman"/>
          <w:i/>
        </w:rPr>
        <w:t>Messrs</w:t>
      </w:r>
      <w:proofErr w:type="spellEnd"/>
      <w:r w:rsidRPr="0075335D">
        <w:rPr>
          <w:rFonts w:ascii="Times New Roman" w:hAnsi="Times New Roman" w:cs="Times New Roman"/>
          <w:i/>
        </w:rPr>
        <w:t xml:space="preserve"> Matatu and Partners C/o Dube, </w:t>
      </w:r>
      <w:proofErr w:type="spellStart"/>
      <w:r w:rsidRPr="0075335D">
        <w:rPr>
          <w:rFonts w:ascii="Times New Roman" w:hAnsi="Times New Roman" w:cs="Times New Roman"/>
          <w:i/>
        </w:rPr>
        <w:t>Tichaona</w:t>
      </w:r>
      <w:proofErr w:type="spellEnd"/>
      <w:r w:rsidRPr="0075335D">
        <w:rPr>
          <w:rFonts w:ascii="Times New Roman" w:hAnsi="Times New Roman" w:cs="Times New Roman"/>
          <w:i/>
        </w:rPr>
        <w:t xml:space="preserve"> and Tsvangirai</w:t>
      </w:r>
      <w:r w:rsidRPr="0075335D">
        <w:rPr>
          <w:rFonts w:ascii="Times New Roman" w:hAnsi="Times New Roman" w:cs="Times New Roman"/>
        </w:rPr>
        <w:t>, 1</w:t>
      </w:r>
      <w:r w:rsidRPr="0075335D">
        <w:rPr>
          <w:rFonts w:ascii="Times New Roman" w:hAnsi="Times New Roman" w:cs="Times New Roman"/>
          <w:vertAlign w:val="superscript"/>
        </w:rPr>
        <w:t>st</w:t>
      </w:r>
      <w:r w:rsidR="00795736">
        <w:rPr>
          <w:rFonts w:ascii="Times New Roman" w:hAnsi="Times New Roman" w:cs="Times New Roman"/>
        </w:rPr>
        <w:t>-</w:t>
      </w:r>
      <w:r w:rsidRPr="0075335D">
        <w:rPr>
          <w:rFonts w:ascii="Times New Roman" w:hAnsi="Times New Roman" w:cs="Times New Roman"/>
        </w:rPr>
        <w:t xml:space="preserve"> 3</w:t>
      </w:r>
      <w:r w:rsidRPr="0075335D">
        <w:rPr>
          <w:rFonts w:ascii="Times New Roman" w:hAnsi="Times New Roman" w:cs="Times New Roman"/>
          <w:vertAlign w:val="superscript"/>
        </w:rPr>
        <w:t>rd</w:t>
      </w:r>
      <w:r w:rsidRPr="0075335D">
        <w:rPr>
          <w:rFonts w:ascii="Times New Roman" w:hAnsi="Times New Roman" w:cs="Times New Roman"/>
        </w:rPr>
        <w:t xml:space="preserve"> respondents’ legal practitioners</w:t>
      </w:r>
    </w:p>
    <w:p w14:paraId="231BBA97" w14:textId="77777777" w:rsidR="003F64E6" w:rsidRPr="003F64E6" w:rsidRDefault="003F64E6" w:rsidP="003F64E6">
      <w:pPr>
        <w:jc w:val="both"/>
        <w:rPr>
          <w:rFonts w:ascii="Times New Roman" w:hAnsi="Times New Roman" w:cs="Times New Roman"/>
          <w:sz w:val="24"/>
        </w:rPr>
      </w:pPr>
    </w:p>
    <w:sectPr w:rsidR="003F64E6" w:rsidRPr="003F64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48880" w14:textId="77777777" w:rsidR="007D73CA" w:rsidRDefault="007D73CA" w:rsidP="003F64E6">
      <w:pPr>
        <w:spacing w:after="0" w:line="240" w:lineRule="auto"/>
      </w:pPr>
      <w:r>
        <w:separator/>
      </w:r>
    </w:p>
  </w:endnote>
  <w:endnote w:type="continuationSeparator" w:id="0">
    <w:p w14:paraId="5AD49496" w14:textId="77777777" w:rsidR="007D73CA" w:rsidRDefault="007D73CA" w:rsidP="003F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28A8" w14:textId="77777777" w:rsidR="007D73CA" w:rsidRDefault="007D73CA" w:rsidP="003F64E6">
      <w:pPr>
        <w:spacing w:after="0" w:line="240" w:lineRule="auto"/>
      </w:pPr>
      <w:r>
        <w:separator/>
      </w:r>
    </w:p>
  </w:footnote>
  <w:footnote w:type="continuationSeparator" w:id="0">
    <w:p w14:paraId="37EC4BF6" w14:textId="77777777" w:rsidR="007D73CA" w:rsidRDefault="007D73CA" w:rsidP="003F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757561"/>
      <w:docPartObj>
        <w:docPartGallery w:val="Page Numbers (Top of Page)"/>
        <w:docPartUnique/>
      </w:docPartObj>
    </w:sdtPr>
    <w:sdtEndPr>
      <w:rPr>
        <w:noProof/>
      </w:rPr>
    </w:sdtEndPr>
    <w:sdtContent>
      <w:p w14:paraId="3BBA1210" w14:textId="77777777" w:rsidR="00C14F48" w:rsidRDefault="00C14F48">
        <w:pPr>
          <w:pStyle w:val="Header"/>
          <w:jc w:val="right"/>
        </w:pPr>
        <w:r>
          <w:fldChar w:fldCharType="begin"/>
        </w:r>
        <w:r>
          <w:instrText xml:space="preserve"> PAGE   \* MERGEFORMAT </w:instrText>
        </w:r>
        <w:r>
          <w:fldChar w:fldCharType="separate"/>
        </w:r>
        <w:r w:rsidR="000D7BC7">
          <w:rPr>
            <w:noProof/>
          </w:rPr>
          <w:t>3</w:t>
        </w:r>
        <w:r>
          <w:rPr>
            <w:noProof/>
          </w:rPr>
          <w:fldChar w:fldCharType="end"/>
        </w:r>
      </w:p>
    </w:sdtContent>
  </w:sdt>
  <w:p w14:paraId="6C53B425" w14:textId="77777777" w:rsidR="00C14F48" w:rsidRDefault="00C14F48">
    <w:pPr>
      <w:pStyle w:val="Header"/>
    </w:pPr>
  </w:p>
  <w:p w14:paraId="6232E274" w14:textId="77777777" w:rsidR="00C14F48" w:rsidRDefault="00C14F48">
    <w:pPr>
      <w:pStyle w:val="Header"/>
    </w:pPr>
    <w:r>
      <w:tab/>
    </w:r>
    <w:r>
      <w:tab/>
      <w:t>HB 71-18</w:t>
    </w:r>
  </w:p>
  <w:p w14:paraId="55267573" w14:textId="77777777" w:rsidR="00C14F48" w:rsidRDefault="00C14F48">
    <w:pPr>
      <w:pStyle w:val="Header"/>
    </w:pPr>
    <w:r>
      <w:tab/>
    </w:r>
    <w:r>
      <w:tab/>
      <w:t>HC 568/17</w:t>
    </w:r>
  </w:p>
  <w:p w14:paraId="3F74998A" w14:textId="77777777" w:rsidR="0075335D" w:rsidRDefault="0075335D">
    <w:pPr>
      <w:pStyle w:val="Header"/>
    </w:pPr>
    <w:r>
      <w:tab/>
    </w:r>
    <w:r>
      <w:tab/>
      <w:t>XREF HC 1494/16</w:t>
    </w:r>
  </w:p>
  <w:p w14:paraId="77331806" w14:textId="77777777" w:rsidR="0075335D" w:rsidRDefault="0075335D">
    <w:pPr>
      <w:pStyle w:val="Header"/>
    </w:pPr>
    <w:r>
      <w:tab/>
    </w:r>
    <w:r>
      <w:tab/>
      <w:t>XREF HC 1806/12</w:t>
    </w:r>
  </w:p>
  <w:p w14:paraId="7E2D96A9" w14:textId="77777777" w:rsidR="00C14F48" w:rsidRDefault="00C14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A7AE5"/>
    <w:multiLevelType w:val="hybridMultilevel"/>
    <w:tmpl w:val="CB8C3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4E6"/>
    <w:rsid w:val="000949D2"/>
    <w:rsid w:val="000B42E2"/>
    <w:rsid w:val="000C5F87"/>
    <w:rsid w:val="000D7BC7"/>
    <w:rsid w:val="002D7259"/>
    <w:rsid w:val="0037533F"/>
    <w:rsid w:val="003F64E6"/>
    <w:rsid w:val="0045347B"/>
    <w:rsid w:val="005F731C"/>
    <w:rsid w:val="006362A9"/>
    <w:rsid w:val="0068415C"/>
    <w:rsid w:val="006D3E62"/>
    <w:rsid w:val="00710639"/>
    <w:rsid w:val="0075335D"/>
    <w:rsid w:val="00795736"/>
    <w:rsid w:val="007D73CA"/>
    <w:rsid w:val="007E4EE6"/>
    <w:rsid w:val="00850D29"/>
    <w:rsid w:val="008537EC"/>
    <w:rsid w:val="00897ABC"/>
    <w:rsid w:val="0093306C"/>
    <w:rsid w:val="009F4C80"/>
    <w:rsid w:val="00A16AD0"/>
    <w:rsid w:val="00A72489"/>
    <w:rsid w:val="00AF6E94"/>
    <w:rsid w:val="00B042BB"/>
    <w:rsid w:val="00C14F48"/>
    <w:rsid w:val="00C64BBD"/>
    <w:rsid w:val="00D710C2"/>
    <w:rsid w:val="00D8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CD96"/>
  <w15:docId w15:val="{DD1242A6-CC31-4E03-AFE5-55A5A3F4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4E6"/>
  </w:style>
  <w:style w:type="paragraph" w:styleId="Footer">
    <w:name w:val="footer"/>
    <w:basedOn w:val="Normal"/>
    <w:link w:val="FooterChar"/>
    <w:uiPriority w:val="99"/>
    <w:unhideWhenUsed/>
    <w:rsid w:val="003F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4E6"/>
  </w:style>
  <w:style w:type="paragraph" w:styleId="ListParagraph">
    <w:name w:val="List Paragraph"/>
    <w:basedOn w:val="Normal"/>
    <w:uiPriority w:val="34"/>
    <w:qFormat/>
    <w:rsid w:val="0075335D"/>
    <w:pPr>
      <w:ind w:left="720"/>
      <w:contextualSpacing/>
    </w:pPr>
  </w:style>
  <w:style w:type="paragraph" w:styleId="BalloonText">
    <w:name w:val="Balloon Text"/>
    <w:basedOn w:val="Normal"/>
    <w:link w:val="BalloonTextChar"/>
    <w:uiPriority w:val="99"/>
    <w:semiHidden/>
    <w:unhideWhenUsed/>
    <w:rsid w:val="000D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B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2018-03-22T10:00:00Z</cp:lastPrinted>
  <dcterms:created xsi:type="dcterms:W3CDTF">2018-05-09T08:18:00Z</dcterms:created>
  <dcterms:modified xsi:type="dcterms:W3CDTF">2018-05-09T08:18:00Z</dcterms:modified>
</cp:coreProperties>
</file>