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A77" w:rsidRPr="00D10188" w:rsidRDefault="00A17874" w:rsidP="00E57A77">
      <w:pPr>
        <w:pStyle w:val="NoSpacing"/>
        <w:jc w:val="both"/>
        <w:rPr>
          <w:b/>
          <w:szCs w:val="24"/>
        </w:rPr>
      </w:pPr>
      <w:r>
        <w:rPr>
          <w:b/>
          <w:szCs w:val="24"/>
        </w:rPr>
        <w:t xml:space="preserve">ELPHAS </w:t>
      </w:r>
      <w:r w:rsidR="00237593">
        <w:rPr>
          <w:b/>
          <w:szCs w:val="24"/>
        </w:rPr>
        <w:t>MAVUNE MAPHISA</w:t>
      </w:r>
    </w:p>
    <w:p w:rsidR="00E57A77" w:rsidRPr="00D10188" w:rsidRDefault="00E57A77" w:rsidP="00E57A77">
      <w:pPr>
        <w:pStyle w:val="NoSpacing"/>
        <w:jc w:val="both"/>
        <w:rPr>
          <w:b/>
          <w:szCs w:val="24"/>
        </w:rPr>
      </w:pPr>
    </w:p>
    <w:p w:rsidR="00E57A77" w:rsidRPr="00D10188" w:rsidRDefault="00E57A77" w:rsidP="00E57A77">
      <w:pPr>
        <w:pStyle w:val="NoSpacing"/>
        <w:jc w:val="both"/>
        <w:rPr>
          <w:b/>
          <w:szCs w:val="24"/>
        </w:rPr>
      </w:pPr>
      <w:r w:rsidRPr="00D10188">
        <w:rPr>
          <w:b/>
          <w:szCs w:val="24"/>
        </w:rPr>
        <w:t>Versus</w:t>
      </w:r>
    </w:p>
    <w:p w:rsidR="00E57A77" w:rsidRPr="00D10188" w:rsidRDefault="00E57A77" w:rsidP="00E57A77">
      <w:pPr>
        <w:pStyle w:val="NoSpacing"/>
        <w:jc w:val="both"/>
        <w:rPr>
          <w:b/>
          <w:szCs w:val="24"/>
        </w:rPr>
      </w:pPr>
    </w:p>
    <w:p w:rsidR="00E57A77" w:rsidRDefault="00237593" w:rsidP="00E57A77">
      <w:pPr>
        <w:pStyle w:val="NoSpacing"/>
        <w:jc w:val="both"/>
        <w:rPr>
          <w:b/>
          <w:szCs w:val="24"/>
        </w:rPr>
      </w:pPr>
      <w:r>
        <w:rPr>
          <w:b/>
          <w:szCs w:val="24"/>
        </w:rPr>
        <w:t xml:space="preserve">THE EXECUTOR DATIVE </w:t>
      </w:r>
    </w:p>
    <w:p w:rsidR="00237593" w:rsidRDefault="00237593" w:rsidP="00E57A77">
      <w:pPr>
        <w:pStyle w:val="NoSpacing"/>
        <w:jc w:val="both"/>
        <w:rPr>
          <w:b/>
          <w:szCs w:val="24"/>
        </w:rPr>
      </w:pPr>
    </w:p>
    <w:p w:rsidR="00237593" w:rsidRDefault="00237593" w:rsidP="00E57A77">
      <w:pPr>
        <w:pStyle w:val="NoSpacing"/>
        <w:jc w:val="both"/>
        <w:rPr>
          <w:b/>
          <w:szCs w:val="24"/>
        </w:rPr>
      </w:pPr>
      <w:r>
        <w:rPr>
          <w:b/>
          <w:szCs w:val="24"/>
        </w:rPr>
        <w:t xml:space="preserve">And </w:t>
      </w:r>
    </w:p>
    <w:p w:rsidR="00237593" w:rsidRDefault="00237593" w:rsidP="00E57A77">
      <w:pPr>
        <w:pStyle w:val="NoSpacing"/>
        <w:jc w:val="both"/>
        <w:rPr>
          <w:b/>
          <w:szCs w:val="24"/>
        </w:rPr>
      </w:pPr>
    </w:p>
    <w:p w:rsidR="00237593" w:rsidRDefault="00237593" w:rsidP="00E57A77">
      <w:pPr>
        <w:pStyle w:val="NoSpacing"/>
        <w:jc w:val="both"/>
        <w:rPr>
          <w:b/>
          <w:szCs w:val="24"/>
        </w:rPr>
      </w:pPr>
      <w:r>
        <w:rPr>
          <w:b/>
          <w:szCs w:val="24"/>
        </w:rPr>
        <w:t xml:space="preserve">NQOBILE MLOYI </w:t>
      </w:r>
    </w:p>
    <w:p w:rsidR="00237593" w:rsidRDefault="00237593" w:rsidP="00E57A77">
      <w:pPr>
        <w:pStyle w:val="NoSpacing"/>
        <w:jc w:val="both"/>
        <w:rPr>
          <w:b/>
          <w:szCs w:val="24"/>
        </w:rPr>
      </w:pPr>
    </w:p>
    <w:p w:rsidR="00237593" w:rsidRDefault="00237593" w:rsidP="00E57A77">
      <w:pPr>
        <w:pStyle w:val="NoSpacing"/>
        <w:jc w:val="both"/>
        <w:rPr>
          <w:b/>
          <w:szCs w:val="24"/>
        </w:rPr>
      </w:pPr>
      <w:r>
        <w:rPr>
          <w:b/>
          <w:szCs w:val="24"/>
        </w:rPr>
        <w:t xml:space="preserve">And </w:t>
      </w:r>
    </w:p>
    <w:p w:rsidR="00237593" w:rsidRDefault="00237593" w:rsidP="00E57A77">
      <w:pPr>
        <w:pStyle w:val="NoSpacing"/>
        <w:jc w:val="both"/>
        <w:rPr>
          <w:b/>
          <w:szCs w:val="24"/>
        </w:rPr>
      </w:pPr>
    </w:p>
    <w:p w:rsidR="00237593" w:rsidRDefault="00AD5B2B" w:rsidP="00E57A77">
      <w:pPr>
        <w:pStyle w:val="NoSpacing"/>
        <w:jc w:val="both"/>
        <w:rPr>
          <w:b/>
          <w:szCs w:val="24"/>
        </w:rPr>
      </w:pPr>
      <w:r>
        <w:rPr>
          <w:b/>
          <w:szCs w:val="24"/>
        </w:rPr>
        <w:t xml:space="preserve">THE DEPUTY MASTER OF THE HIGH COURT </w:t>
      </w:r>
    </w:p>
    <w:p w:rsidR="00AD5B2B" w:rsidRDefault="00AD5B2B" w:rsidP="00E57A77">
      <w:pPr>
        <w:pStyle w:val="NoSpacing"/>
        <w:jc w:val="both"/>
        <w:rPr>
          <w:b/>
          <w:szCs w:val="24"/>
        </w:rPr>
      </w:pPr>
      <w:bookmarkStart w:id="0" w:name="_GoBack"/>
      <w:bookmarkEnd w:id="0"/>
    </w:p>
    <w:p w:rsidR="00AD5B2B" w:rsidRDefault="00AD5B2B" w:rsidP="00E57A77">
      <w:pPr>
        <w:pStyle w:val="NoSpacing"/>
        <w:jc w:val="both"/>
        <w:rPr>
          <w:b/>
          <w:szCs w:val="24"/>
        </w:rPr>
      </w:pPr>
      <w:r>
        <w:rPr>
          <w:b/>
          <w:szCs w:val="24"/>
        </w:rPr>
        <w:t xml:space="preserve">And </w:t>
      </w:r>
    </w:p>
    <w:p w:rsidR="00AD5B2B" w:rsidRDefault="00AD5B2B" w:rsidP="00E57A77">
      <w:pPr>
        <w:pStyle w:val="NoSpacing"/>
        <w:jc w:val="both"/>
        <w:rPr>
          <w:b/>
          <w:szCs w:val="24"/>
        </w:rPr>
      </w:pPr>
    </w:p>
    <w:p w:rsidR="00AD5B2B" w:rsidRDefault="00AD5B2B" w:rsidP="00E57A77">
      <w:pPr>
        <w:pStyle w:val="NoSpacing"/>
        <w:jc w:val="both"/>
        <w:rPr>
          <w:b/>
          <w:szCs w:val="24"/>
        </w:rPr>
      </w:pPr>
      <w:r>
        <w:rPr>
          <w:b/>
          <w:szCs w:val="24"/>
        </w:rPr>
        <w:t xml:space="preserve">THE REGISTRAR OF DEEDS </w:t>
      </w:r>
    </w:p>
    <w:p w:rsidR="00AD5B2B" w:rsidRDefault="00AD5B2B" w:rsidP="00E57A77">
      <w:pPr>
        <w:pStyle w:val="NoSpacing"/>
        <w:jc w:val="both"/>
        <w:rPr>
          <w:b/>
          <w:szCs w:val="24"/>
        </w:rPr>
      </w:pPr>
    </w:p>
    <w:p w:rsidR="00AD5B2B" w:rsidRDefault="00AD5B2B" w:rsidP="00E57A77">
      <w:pPr>
        <w:pStyle w:val="NoSpacing"/>
        <w:jc w:val="both"/>
        <w:rPr>
          <w:b/>
          <w:szCs w:val="24"/>
        </w:rPr>
      </w:pPr>
      <w:r>
        <w:rPr>
          <w:b/>
          <w:szCs w:val="24"/>
        </w:rPr>
        <w:t xml:space="preserve">And </w:t>
      </w:r>
    </w:p>
    <w:p w:rsidR="00AD5B2B" w:rsidRDefault="00AD5B2B" w:rsidP="00E57A77">
      <w:pPr>
        <w:pStyle w:val="NoSpacing"/>
        <w:jc w:val="both"/>
        <w:rPr>
          <w:b/>
          <w:szCs w:val="24"/>
        </w:rPr>
      </w:pPr>
    </w:p>
    <w:p w:rsidR="00AD5B2B" w:rsidRDefault="00AD5B2B" w:rsidP="00E57A77">
      <w:pPr>
        <w:pStyle w:val="NoSpacing"/>
        <w:jc w:val="both"/>
        <w:rPr>
          <w:b/>
          <w:szCs w:val="24"/>
        </w:rPr>
      </w:pPr>
      <w:r>
        <w:rPr>
          <w:b/>
          <w:szCs w:val="24"/>
        </w:rPr>
        <w:t xml:space="preserve">ETTTAH SIBANDA </w:t>
      </w:r>
    </w:p>
    <w:p w:rsidR="00AD5B2B" w:rsidRDefault="00AD5B2B" w:rsidP="00E57A77">
      <w:pPr>
        <w:pStyle w:val="NoSpacing"/>
        <w:jc w:val="both"/>
        <w:rPr>
          <w:b/>
          <w:szCs w:val="24"/>
        </w:rPr>
      </w:pPr>
    </w:p>
    <w:p w:rsidR="00AD5B2B" w:rsidRDefault="00AD5B2B" w:rsidP="00E57A77">
      <w:pPr>
        <w:pStyle w:val="NoSpacing"/>
        <w:jc w:val="both"/>
        <w:rPr>
          <w:b/>
          <w:szCs w:val="24"/>
        </w:rPr>
      </w:pPr>
      <w:r>
        <w:rPr>
          <w:b/>
          <w:szCs w:val="24"/>
        </w:rPr>
        <w:t xml:space="preserve">And </w:t>
      </w:r>
    </w:p>
    <w:p w:rsidR="00AD5B2B" w:rsidRDefault="00AD5B2B" w:rsidP="00E57A77">
      <w:pPr>
        <w:pStyle w:val="NoSpacing"/>
        <w:jc w:val="both"/>
        <w:rPr>
          <w:b/>
          <w:szCs w:val="24"/>
        </w:rPr>
      </w:pPr>
    </w:p>
    <w:p w:rsidR="00AD5B2B" w:rsidRDefault="00DD1EC5" w:rsidP="00E57A77">
      <w:pPr>
        <w:pStyle w:val="NoSpacing"/>
        <w:jc w:val="both"/>
        <w:rPr>
          <w:b/>
          <w:szCs w:val="24"/>
        </w:rPr>
      </w:pPr>
      <w:r>
        <w:rPr>
          <w:b/>
          <w:szCs w:val="24"/>
        </w:rPr>
        <w:t xml:space="preserve">JOYCE SIBANDA </w:t>
      </w:r>
    </w:p>
    <w:p w:rsidR="00DD1EC5" w:rsidRDefault="00DD1EC5" w:rsidP="00E57A77">
      <w:pPr>
        <w:pStyle w:val="NoSpacing"/>
        <w:jc w:val="both"/>
        <w:rPr>
          <w:b/>
          <w:szCs w:val="24"/>
        </w:rPr>
      </w:pPr>
    </w:p>
    <w:p w:rsidR="00DD1EC5" w:rsidRDefault="00DD1EC5" w:rsidP="00E57A77">
      <w:pPr>
        <w:pStyle w:val="NoSpacing"/>
        <w:jc w:val="both"/>
        <w:rPr>
          <w:b/>
          <w:szCs w:val="24"/>
        </w:rPr>
      </w:pPr>
      <w:r>
        <w:rPr>
          <w:b/>
          <w:szCs w:val="24"/>
        </w:rPr>
        <w:t xml:space="preserve">And </w:t>
      </w:r>
    </w:p>
    <w:p w:rsidR="00DD1EC5" w:rsidRDefault="00DD1EC5" w:rsidP="00E57A77">
      <w:pPr>
        <w:pStyle w:val="NoSpacing"/>
        <w:jc w:val="both"/>
        <w:rPr>
          <w:b/>
          <w:szCs w:val="24"/>
        </w:rPr>
      </w:pPr>
    </w:p>
    <w:p w:rsidR="00DD1EC5" w:rsidRDefault="00DD1EC5" w:rsidP="00E57A77">
      <w:pPr>
        <w:pStyle w:val="NoSpacing"/>
        <w:jc w:val="both"/>
        <w:rPr>
          <w:b/>
          <w:szCs w:val="24"/>
        </w:rPr>
      </w:pPr>
      <w:r>
        <w:rPr>
          <w:b/>
          <w:szCs w:val="24"/>
        </w:rPr>
        <w:t xml:space="preserve">ELPHINA SIBANDA </w:t>
      </w:r>
    </w:p>
    <w:p w:rsidR="00DD1EC5" w:rsidRDefault="00DD1EC5" w:rsidP="00E57A77">
      <w:pPr>
        <w:pStyle w:val="NoSpacing"/>
        <w:jc w:val="both"/>
        <w:rPr>
          <w:b/>
          <w:szCs w:val="24"/>
        </w:rPr>
      </w:pPr>
    </w:p>
    <w:p w:rsidR="00DD1EC5" w:rsidRDefault="00DD1EC5" w:rsidP="00E57A77">
      <w:pPr>
        <w:pStyle w:val="NoSpacing"/>
        <w:jc w:val="both"/>
        <w:rPr>
          <w:b/>
          <w:szCs w:val="24"/>
        </w:rPr>
      </w:pPr>
      <w:r>
        <w:rPr>
          <w:b/>
          <w:szCs w:val="24"/>
        </w:rPr>
        <w:t xml:space="preserve">And </w:t>
      </w:r>
    </w:p>
    <w:p w:rsidR="00DD1EC5" w:rsidRDefault="00DD1EC5" w:rsidP="00E57A77">
      <w:pPr>
        <w:pStyle w:val="NoSpacing"/>
        <w:jc w:val="both"/>
        <w:rPr>
          <w:b/>
          <w:szCs w:val="24"/>
        </w:rPr>
      </w:pPr>
    </w:p>
    <w:p w:rsidR="00DD1EC5" w:rsidRDefault="00DD1EC5" w:rsidP="00E57A77">
      <w:pPr>
        <w:pStyle w:val="NoSpacing"/>
        <w:jc w:val="both"/>
        <w:rPr>
          <w:b/>
          <w:szCs w:val="24"/>
        </w:rPr>
      </w:pPr>
      <w:r>
        <w:rPr>
          <w:b/>
          <w:szCs w:val="24"/>
        </w:rPr>
        <w:t xml:space="preserve">KHEFENI SIBANDA </w:t>
      </w:r>
    </w:p>
    <w:p w:rsidR="00DD1EC5" w:rsidRDefault="00DD1EC5" w:rsidP="00E57A77">
      <w:pPr>
        <w:pStyle w:val="NoSpacing"/>
        <w:jc w:val="both"/>
        <w:rPr>
          <w:b/>
          <w:szCs w:val="24"/>
        </w:rPr>
      </w:pPr>
    </w:p>
    <w:p w:rsidR="00DD1EC5" w:rsidRDefault="00DD1EC5" w:rsidP="00E57A77">
      <w:pPr>
        <w:pStyle w:val="NoSpacing"/>
        <w:jc w:val="both"/>
        <w:rPr>
          <w:b/>
          <w:szCs w:val="24"/>
        </w:rPr>
      </w:pPr>
      <w:r>
        <w:rPr>
          <w:b/>
          <w:szCs w:val="24"/>
        </w:rPr>
        <w:t xml:space="preserve">And </w:t>
      </w:r>
    </w:p>
    <w:p w:rsidR="00DD1EC5" w:rsidRDefault="00DD1EC5" w:rsidP="00E57A77">
      <w:pPr>
        <w:pStyle w:val="NoSpacing"/>
        <w:jc w:val="both"/>
        <w:rPr>
          <w:b/>
          <w:szCs w:val="24"/>
        </w:rPr>
      </w:pPr>
    </w:p>
    <w:p w:rsidR="00DD1EC5" w:rsidRDefault="00DD1EC5" w:rsidP="00E57A77">
      <w:pPr>
        <w:pStyle w:val="NoSpacing"/>
        <w:jc w:val="both"/>
        <w:rPr>
          <w:b/>
          <w:szCs w:val="24"/>
        </w:rPr>
      </w:pPr>
      <w:r>
        <w:rPr>
          <w:b/>
          <w:szCs w:val="24"/>
        </w:rPr>
        <w:t xml:space="preserve">MAXWELL SIBANDA </w:t>
      </w:r>
    </w:p>
    <w:p w:rsidR="00DD1EC5" w:rsidRDefault="00DD1EC5" w:rsidP="00E57A77">
      <w:pPr>
        <w:pStyle w:val="NoSpacing"/>
        <w:jc w:val="both"/>
        <w:rPr>
          <w:b/>
          <w:szCs w:val="24"/>
        </w:rPr>
      </w:pPr>
    </w:p>
    <w:p w:rsidR="00DD1EC5" w:rsidRDefault="00DD1EC5" w:rsidP="00E57A77">
      <w:pPr>
        <w:pStyle w:val="NoSpacing"/>
        <w:jc w:val="both"/>
        <w:rPr>
          <w:b/>
          <w:szCs w:val="24"/>
        </w:rPr>
      </w:pPr>
      <w:r>
        <w:rPr>
          <w:b/>
          <w:szCs w:val="24"/>
        </w:rPr>
        <w:t xml:space="preserve">And </w:t>
      </w:r>
    </w:p>
    <w:p w:rsidR="00DD1EC5" w:rsidRDefault="00DD1EC5" w:rsidP="00E57A77">
      <w:pPr>
        <w:pStyle w:val="NoSpacing"/>
        <w:jc w:val="both"/>
        <w:rPr>
          <w:b/>
          <w:szCs w:val="24"/>
        </w:rPr>
      </w:pPr>
    </w:p>
    <w:p w:rsidR="00DD1EC5" w:rsidRDefault="00DD1EC5" w:rsidP="00E57A77">
      <w:pPr>
        <w:pStyle w:val="NoSpacing"/>
        <w:jc w:val="both"/>
        <w:rPr>
          <w:b/>
          <w:szCs w:val="24"/>
        </w:rPr>
      </w:pPr>
      <w:r>
        <w:rPr>
          <w:b/>
          <w:szCs w:val="24"/>
        </w:rPr>
        <w:t xml:space="preserve">SILOYISIWE SIBANDA </w:t>
      </w:r>
    </w:p>
    <w:p w:rsidR="00DD1EC5" w:rsidRDefault="00DD1EC5" w:rsidP="00E57A77">
      <w:pPr>
        <w:pStyle w:val="NoSpacing"/>
        <w:jc w:val="both"/>
        <w:rPr>
          <w:b/>
          <w:szCs w:val="24"/>
        </w:rPr>
      </w:pPr>
    </w:p>
    <w:p w:rsidR="00DD1EC5" w:rsidRDefault="00DD1EC5" w:rsidP="00E57A77">
      <w:pPr>
        <w:pStyle w:val="NoSpacing"/>
        <w:jc w:val="both"/>
        <w:rPr>
          <w:b/>
          <w:szCs w:val="24"/>
        </w:rPr>
      </w:pPr>
      <w:r>
        <w:rPr>
          <w:b/>
          <w:szCs w:val="24"/>
        </w:rPr>
        <w:t xml:space="preserve">And </w:t>
      </w:r>
    </w:p>
    <w:p w:rsidR="00DD1EC5" w:rsidRDefault="00DD1EC5" w:rsidP="00E57A77">
      <w:pPr>
        <w:pStyle w:val="NoSpacing"/>
        <w:jc w:val="both"/>
        <w:rPr>
          <w:b/>
          <w:szCs w:val="24"/>
        </w:rPr>
      </w:pPr>
    </w:p>
    <w:p w:rsidR="00DD1EC5" w:rsidRDefault="009052F7" w:rsidP="00E57A77">
      <w:pPr>
        <w:pStyle w:val="NoSpacing"/>
        <w:jc w:val="both"/>
        <w:rPr>
          <w:b/>
          <w:szCs w:val="24"/>
        </w:rPr>
      </w:pPr>
      <w:r>
        <w:rPr>
          <w:b/>
          <w:szCs w:val="24"/>
        </w:rPr>
        <w:t xml:space="preserve">SIBUSISIWE SIBANDA </w:t>
      </w:r>
    </w:p>
    <w:p w:rsidR="009052F7" w:rsidRPr="00D10188" w:rsidRDefault="009052F7" w:rsidP="00E57A77">
      <w:pPr>
        <w:pStyle w:val="NoSpacing"/>
        <w:jc w:val="both"/>
        <w:rPr>
          <w:b/>
          <w:szCs w:val="24"/>
        </w:rPr>
      </w:pPr>
    </w:p>
    <w:p w:rsidR="00E57A77" w:rsidRPr="00D10188" w:rsidRDefault="00E57A77" w:rsidP="00E57A77">
      <w:pPr>
        <w:pStyle w:val="NoSpacing"/>
        <w:jc w:val="both"/>
        <w:rPr>
          <w:b/>
          <w:szCs w:val="24"/>
        </w:rPr>
      </w:pPr>
    </w:p>
    <w:p w:rsidR="002D0B50" w:rsidRDefault="002D0B50" w:rsidP="00E57A77">
      <w:pPr>
        <w:pStyle w:val="NoSpacing"/>
        <w:jc w:val="both"/>
        <w:rPr>
          <w:szCs w:val="24"/>
        </w:rPr>
      </w:pPr>
    </w:p>
    <w:p w:rsidR="00E57A77" w:rsidRPr="00D10188" w:rsidRDefault="00E57A77" w:rsidP="00E57A77">
      <w:pPr>
        <w:pStyle w:val="NoSpacing"/>
        <w:jc w:val="both"/>
        <w:rPr>
          <w:szCs w:val="24"/>
        </w:rPr>
      </w:pPr>
      <w:r w:rsidRPr="00D10188">
        <w:rPr>
          <w:szCs w:val="24"/>
        </w:rPr>
        <w:lastRenderedPageBreak/>
        <w:t>IN THE HIGH COURT OF ZIMBABWE</w:t>
      </w:r>
    </w:p>
    <w:p w:rsidR="00E57A77" w:rsidRPr="00D10188" w:rsidRDefault="009052F7" w:rsidP="00E57A77">
      <w:pPr>
        <w:pStyle w:val="NoSpacing"/>
        <w:jc w:val="both"/>
        <w:rPr>
          <w:szCs w:val="24"/>
        </w:rPr>
      </w:pPr>
      <w:r>
        <w:rPr>
          <w:szCs w:val="24"/>
        </w:rPr>
        <w:t>DUBE-BANDA</w:t>
      </w:r>
      <w:r w:rsidR="00E57A77" w:rsidRPr="00D10188">
        <w:rPr>
          <w:szCs w:val="24"/>
        </w:rPr>
        <w:t xml:space="preserve"> J</w:t>
      </w:r>
    </w:p>
    <w:p w:rsidR="00E57A77" w:rsidRPr="00D10188" w:rsidRDefault="009052F7" w:rsidP="00E57A77">
      <w:pPr>
        <w:pStyle w:val="NoSpacing"/>
        <w:jc w:val="both"/>
        <w:rPr>
          <w:szCs w:val="24"/>
        </w:rPr>
      </w:pPr>
      <w:r>
        <w:rPr>
          <w:szCs w:val="24"/>
        </w:rPr>
        <w:t>BULAWAYO 12</w:t>
      </w:r>
      <w:r w:rsidR="00627F45">
        <w:rPr>
          <w:szCs w:val="24"/>
        </w:rPr>
        <w:t xml:space="preserve"> NOVEMBER 2021 &amp; 6</w:t>
      </w:r>
      <w:r w:rsidR="0093026F">
        <w:rPr>
          <w:szCs w:val="24"/>
        </w:rPr>
        <w:t xml:space="preserve"> JANUARY 2022</w:t>
      </w:r>
    </w:p>
    <w:p w:rsidR="00E57A77" w:rsidRPr="00D10188" w:rsidRDefault="00E57A77" w:rsidP="00E57A77">
      <w:pPr>
        <w:pStyle w:val="NoSpacing"/>
        <w:jc w:val="both"/>
        <w:rPr>
          <w:szCs w:val="24"/>
        </w:rPr>
      </w:pPr>
    </w:p>
    <w:p w:rsidR="00E57A77" w:rsidRPr="00D10188" w:rsidRDefault="00D3745E" w:rsidP="00E57A77">
      <w:pPr>
        <w:pStyle w:val="NoSpacing"/>
        <w:jc w:val="both"/>
        <w:rPr>
          <w:b/>
          <w:szCs w:val="24"/>
        </w:rPr>
      </w:pPr>
      <w:r>
        <w:rPr>
          <w:b/>
          <w:szCs w:val="24"/>
        </w:rPr>
        <w:t xml:space="preserve">Opposed court application </w:t>
      </w:r>
    </w:p>
    <w:p w:rsidR="00E57A77" w:rsidRPr="00D10188" w:rsidRDefault="00E57A77" w:rsidP="00E57A77">
      <w:pPr>
        <w:pStyle w:val="NoSpacing"/>
        <w:jc w:val="both"/>
        <w:rPr>
          <w:szCs w:val="24"/>
        </w:rPr>
      </w:pPr>
    </w:p>
    <w:p w:rsidR="00E57A77" w:rsidRPr="00D10188" w:rsidRDefault="00D3745E" w:rsidP="00E57A77">
      <w:pPr>
        <w:pStyle w:val="NoSpacing"/>
        <w:jc w:val="both"/>
        <w:rPr>
          <w:szCs w:val="24"/>
        </w:rPr>
      </w:pPr>
      <w:r w:rsidRPr="00D3745E">
        <w:rPr>
          <w:szCs w:val="24"/>
        </w:rPr>
        <w:t>A</w:t>
      </w:r>
      <w:r w:rsidR="00E57A77" w:rsidRPr="00D10188">
        <w:rPr>
          <w:szCs w:val="24"/>
        </w:rPr>
        <w:t>pplicant</w:t>
      </w:r>
      <w:r>
        <w:rPr>
          <w:szCs w:val="24"/>
        </w:rPr>
        <w:t xml:space="preserve"> in person </w:t>
      </w:r>
    </w:p>
    <w:p w:rsidR="00E57A77" w:rsidRPr="00D10188" w:rsidRDefault="00D3745E" w:rsidP="00E57A77">
      <w:pPr>
        <w:pStyle w:val="NoSpacing"/>
        <w:jc w:val="both"/>
        <w:rPr>
          <w:szCs w:val="24"/>
        </w:rPr>
      </w:pPr>
      <w:r>
        <w:rPr>
          <w:i/>
          <w:szCs w:val="24"/>
        </w:rPr>
        <w:t xml:space="preserve">T. Ndlovu, </w:t>
      </w:r>
      <w:r w:rsidR="00E57A77" w:rsidRPr="00D10188">
        <w:rPr>
          <w:szCs w:val="24"/>
        </w:rPr>
        <w:t xml:space="preserve">for the </w:t>
      </w:r>
      <w:r w:rsidR="00327D9B">
        <w:rPr>
          <w:szCs w:val="24"/>
        </w:rPr>
        <w:t>2</w:t>
      </w:r>
      <w:r w:rsidR="00327D9B" w:rsidRPr="00327D9B">
        <w:rPr>
          <w:szCs w:val="24"/>
          <w:vertAlign w:val="superscript"/>
        </w:rPr>
        <w:t>nd</w:t>
      </w:r>
      <w:r w:rsidR="00327D9B">
        <w:rPr>
          <w:szCs w:val="24"/>
        </w:rPr>
        <w:t xml:space="preserve"> </w:t>
      </w:r>
      <w:r w:rsidR="00E57A77" w:rsidRPr="00D10188">
        <w:rPr>
          <w:szCs w:val="24"/>
        </w:rPr>
        <w:t>respondent</w:t>
      </w:r>
    </w:p>
    <w:p w:rsidR="002362A6" w:rsidRPr="00A01E77" w:rsidRDefault="00E57A77" w:rsidP="00A01E77">
      <w:pPr>
        <w:jc w:val="both"/>
        <w:rPr>
          <w:szCs w:val="24"/>
        </w:rPr>
      </w:pPr>
      <w:r w:rsidRPr="00D10188">
        <w:rPr>
          <w:szCs w:val="24"/>
        </w:rPr>
        <w:tab/>
      </w:r>
      <w:r w:rsidR="00327D9B">
        <w:rPr>
          <w:b/>
          <w:szCs w:val="24"/>
        </w:rPr>
        <w:t>DUBE-BANDA</w:t>
      </w:r>
      <w:r w:rsidRPr="00D10188">
        <w:rPr>
          <w:b/>
          <w:szCs w:val="24"/>
        </w:rPr>
        <w:t xml:space="preserve"> J:</w:t>
      </w:r>
      <w:r w:rsidR="00EB727B">
        <w:rPr>
          <w:b/>
          <w:szCs w:val="24"/>
        </w:rPr>
        <w:t xml:space="preserve"> </w:t>
      </w:r>
      <w:r w:rsidR="00050912">
        <w:rPr>
          <w:szCs w:val="24"/>
        </w:rPr>
        <w:t>This application is titled “court application for unlawful disposal of deceased’s immovable property.”</w:t>
      </w:r>
      <w:r w:rsidR="00C8224E">
        <w:rPr>
          <w:szCs w:val="24"/>
        </w:rPr>
        <w:t xml:space="preserve"> </w:t>
      </w:r>
      <w:r w:rsidR="003D685A">
        <w:rPr>
          <w:sz w:val="23"/>
          <w:szCs w:val="23"/>
        </w:rPr>
        <w:t>The 1</w:t>
      </w:r>
      <w:r w:rsidR="003D685A" w:rsidRPr="003D685A">
        <w:rPr>
          <w:sz w:val="23"/>
          <w:szCs w:val="23"/>
          <w:vertAlign w:val="superscript"/>
        </w:rPr>
        <w:t>st</w:t>
      </w:r>
      <w:r w:rsidR="003D685A">
        <w:rPr>
          <w:sz w:val="23"/>
          <w:szCs w:val="23"/>
        </w:rPr>
        <w:t>, 5</w:t>
      </w:r>
      <w:r w:rsidR="003D685A" w:rsidRPr="003D685A">
        <w:rPr>
          <w:sz w:val="23"/>
          <w:szCs w:val="23"/>
          <w:vertAlign w:val="superscript"/>
        </w:rPr>
        <w:t>th</w:t>
      </w:r>
      <w:r w:rsidR="003D685A">
        <w:rPr>
          <w:sz w:val="23"/>
          <w:szCs w:val="23"/>
        </w:rPr>
        <w:t>, 6</w:t>
      </w:r>
      <w:r w:rsidR="003D685A" w:rsidRPr="003D685A">
        <w:rPr>
          <w:sz w:val="23"/>
          <w:szCs w:val="23"/>
          <w:vertAlign w:val="superscript"/>
        </w:rPr>
        <w:t>th</w:t>
      </w:r>
      <w:r w:rsidR="003D685A">
        <w:rPr>
          <w:sz w:val="23"/>
          <w:szCs w:val="23"/>
        </w:rPr>
        <w:t>, 7</w:t>
      </w:r>
      <w:r w:rsidR="003D685A" w:rsidRPr="003D685A">
        <w:rPr>
          <w:sz w:val="23"/>
          <w:szCs w:val="23"/>
          <w:vertAlign w:val="superscript"/>
        </w:rPr>
        <w:t>th</w:t>
      </w:r>
      <w:r w:rsidR="003D685A">
        <w:rPr>
          <w:sz w:val="23"/>
          <w:szCs w:val="23"/>
        </w:rPr>
        <w:t>, 8</w:t>
      </w:r>
      <w:r w:rsidR="003D685A" w:rsidRPr="003D685A">
        <w:rPr>
          <w:sz w:val="23"/>
          <w:szCs w:val="23"/>
          <w:vertAlign w:val="superscript"/>
        </w:rPr>
        <w:t>th</w:t>
      </w:r>
      <w:r w:rsidR="001D2343">
        <w:rPr>
          <w:sz w:val="23"/>
          <w:szCs w:val="23"/>
        </w:rPr>
        <w:t>, 9</w:t>
      </w:r>
      <w:r w:rsidR="001D2343" w:rsidRPr="001D2343">
        <w:rPr>
          <w:sz w:val="23"/>
          <w:szCs w:val="23"/>
          <w:vertAlign w:val="superscript"/>
        </w:rPr>
        <w:t>th</w:t>
      </w:r>
      <w:r w:rsidR="001D2343">
        <w:rPr>
          <w:sz w:val="23"/>
          <w:szCs w:val="23"/>
        </w:rPr>
        <w:t>, 10</w:t>
      </w:r>
      <w:r w:rsidR="001D2343" w:rsidRPr="001D2343">
        <w:rPr>
          <w:sz w:val="23"/>
          <w:szCs w:val="23"/>
          <w:vertAlign w:val="superscript"/>
        </w:rPr>
        <w:t>th</w:t>
      </w:r>
      <w:r w:rsidR="001D2343">
        <w:rPr>
          <w:sz w:val="23"/>
          <w:szCs w:val="23"/>
        </w:rPr>
        <w:t xml:space="preserve"> and 11</w:t>
      </w:r>
      <w:r w:rsidR="001D2343" w:rsidRPr="001D2343">
        <w:rPr>
          <w:sz w:val="23"/>
          <w:szCs w:val="23"/>
          <w:vertAlign w:val="superscript"/>
        </w:rPr>
        <w:t>th</w:t>
      </w:r>
      <w:r w:rsidR="001D2343">
        <w:rPr>
          <w:sz w:val="23"/>
          <w:szCs w:val="23"/>
        </w:rPr>
        <w:t xml:space="preserve"> </w:t>
      </w:r>
      <w:r w:rsidR="003D685A">
        <w:rPr>
          <w:sz w:val="23"/>
          <w:szCs w:val="23"/>
        </w:rPr>
        <w:t>respondents neither filed opposing papers, nor participated in these proceedings.</w:t>
      </w:r>
      <w:r w:rsidR="001D2343">
        <w:rPr>
          <w:sz w:val="23"/>
          <w:szCs w:val="23"/>
        </w:rPr>
        <w:t xml:space="preserve"> </w:t>
      </w:r>
      <w:r w:rsidR="00B22710">
        <w:rPr>
          <w:sz w:val="23"/>
          <w:szCs w:val="23"/>
        </w:rPr>
        <w:t>The 3</w:t>
      </w:r>
      <w:r w:rsidR="00B22710" w:rsidRPr="00B22710">
        <w:rPr>
          <w:sz w:val="23"/>
          <w:szCs w:val="23"/>
          <w:vertAlign w:val="superscript"/>
        </w:rPr>
        <w:t>rd</w:t>
      </w:r>
      <w:r w:rsidR="00B22710">
        <w:rPr>
          <w:sz w:val="23"/>
          <w:szCs w:val="23"/>
        </w:rPr>
        <w:t xml:space="preserve"> and 4</w:t>
      </w:r>
      <w:r w:rsidR="00B22710" w:rsidRPr="00B22710">
        <w:rPr>
          <w:sz w:val="23"/>
          <w:szCs w:val="23"/>
          <w:vertAlign w:val="superscript"/>
        </w:rPr>
        <w:t>th</w:t>
      </w:r>
      <w:r w:rsidR="00B22710">
        <w:rPr>
          <w:sz w:val="23"/>
          <w:szCs w:val="23"/>
        </w:rPr>
        <w:t xml:space="preserve"> </w:t>
      </w:r>
      <w:r w:rsidR="00D01408">
        <w:rPr>
          <w:sz w:val="23"/>
          <w:szCs w:val="23"/>
        </w:rPr>
        <w:t>respondents are cited in their official capacities because the implementation of the order sought by the applicant, if granted may require their services.</w:t>
      </w:r>
      <w:r w:rsidR="001E44F9">
        <w:rPr>
          <w:sz w:val="23"/>
          <w:szCs w:val="23"/>
        </w:rPr>
        <w:t xml:space="preserve"> This</w:t>
      </w:r>
      <w:r w:rsidR="00B22710">
        <w:rPr>
          <w:sz w:val="23"/>
          <w:szCs w:val="23"/>
        </w:rPr>
        <w:t xml:space="preserve"> application </w:t>
      </w:r>
      <w:r w:rsidR="00C8224E">
        <w:rPr>
          <w:szCs w:val="24"/>
        </w:rPr>
        <w:t>is opposed by the 2</w:t>
      </w:r>
      <w:r w:rsidR="00C8224E" w:rsidRPr="00C8224E">
        <w:rPr>
          <w:szCs w:val="24"/>
          <w:vertAlign w:val="superscript"/>
        </w:rPr>
        <w:t>nd</w:t>
      </w:r>
      <w:r w:rsidR="00C8224E">
        <w:rPr>
          <w:szCs w:val="24"/>
        </w:rPr>
        <w:t xml:space="preserve"> respondent. </w:t>
      </w:r>
      <w:r w:rsidR="005F3743">
        <w:rPr>
          <w:szCs w:val="24"/>
        </w:rPr>
        <w:t>T</w:t>
      </w:r>
      <w:r w:rsidR="00A01E77">
        <w:rPr>
          <w:szCs w:val="24"/>
        </w:rPr>
        <w:t xml:space="preserve">he applicant </w:t>
      </w:r>
      <w:r w:rsidR="002362A6">
        <w:rPr>
          <w:szCs w:val="24"/>
        </w:rPr>
        <w:t xml:space="preserve">seeks relief couched in the following terms: </w:t>
      </w:r>
    </w:p>
    <w:p w:rsidR="00B205C2" w:rsidRDefault="00455EA7" w:rsidP="00455EA7">
      <w:pPr>
        <w:pStyle w:val="ListParagraph"/>
        <w:numPr>
          <w:ilvl w:val="0"/>
          <w:numId w:val="1"/>
        </w:numPr>
        <w:rPr>
          <w:rFonts w:cs="Times New Roman"/>
          <w:szCs w:val="24"/>
        </w:rPr>
      </w:pPr>
      <w:r>
        <w:rPr>
          <w:rFonts w:cs="Times New Roman"/>
          <w:szCs w:val="24"/>
        </w:rPr>
        <w:t>The certificate issued by the Deputy Master under section 120 of the Administration of Estates Act be and is hereby set aside.</w:t>
      </w:r>
    </w:p>
    <w:p w:rsidR="00455EA7" w:rsidRDefault="00455EA7" w:rsidP="00455EA7">
      <w:pPr>
        <w:pStyle w:val="ListParagraph"/>
        <w:numPr>
          <w:ilvl w:val="0"/>
          <w:numId w:val="1"/>
        </w:numPr>
        <w:rPr>
          <w:rFonts w:cs="Times New Roman"/>
          <w:szCs w:val="24"/>
        </w:rPr>
      </w:pPr>
      <w:r>
        <w:rPr>
          <w:rFonts w:cs="Times New Roman"/>
          <w:szCs w:val="24"/>
        </w:rPr>
        <w:t>The disposal of the house number 501 Nkulumane, Bulawayo be and is hereby set-aside.</w:t>
      </w:r>
    </w:p>
    <w:p w:rsidR="006B6151" w:rsidRDefault="006B6151" w:rsidP="00455EA7">
      <w:pPr>
        <w:pStyle w:val="ListParagraph"/>
        <w:numPr>
          <w:ilvl w:val="0"/>
          <w:numId w:val="1"/>
        </w:numPr>
        <w:rPr>
          <w:rFonts w:cs="Times New Roman"/>
          <w:szCs w:val="24"/>
        </w:rPr>
      </w:pPr>
      <w:r>
        <w:rPr>
          <w:rFonts w:cs="Times New Roman"/>
          <w:szCs w:val="24"/>
        </w:rPr>
        <w:t>The caveat be and is hereby placed on the said house number 501 Nkulumane, Bulawayo with immediate effect.</w:t>
      </w:r>
    </w:p>
    <w:p w:rsidR="00455EA7" w:rsidRDefault="00F31C04" w:rsidP="00455EA7">
      <w:pPr>
        <w:pStyle w:val="ListParagraph"/>
        <w:numPr>
          <w:ilvl w:val="0"/>
          <w:numId w:val="1"/>
        </w:numPr>
        <w:rPr>
          <w:rFonts w:cs="Times New Roman"/>
          <w:szCs w:val="24"/>
        </w:rPr>
      </w:pPr>
      <w:r>
        <w:rPr>
          <w:rFonts w:cs="Times New Roman"/>
          <w:szCs w:val="24"/>
        </w:rPr>
        <w:t xml:space="preserve">The Deputy Master of the High Court be and is hereby directed to ensure that all beneficiaries consented to the disposal of the said house number 501 Nkulumane, Bulawayo, before giving authorization to the transfer </w:t>
      </w:r>
      <w:r w:rsidR="004E6294">
        <w:rPr>
          <w:rFonts w:cs="Times New Roman"/>
          <w:szCs w:val="24"/>
        </w:rPr>
        <w:t xml:space="preserve">said property (sic) and / or reverse any authorization </w:t>
      </w:r>
      <w:r w:rsidR="006B6151">
        <w:rPr>
          <w:rFonts w:cs="Times New Roman"/>
          <w:szCs w:val="24"/>
        </w:rPr>
        <w:t xml:space="preserve">that may have been given. </w:t>
      </w:r>
    </w:p>
    <w:p w:rsidR="006B6151" w:rsidRDefault="006B6151" w:rsidP="00455EA7">
      <w:pPr>
        <w:pStyle w:val="ListParagraph"/>
        <w:numPr>
          <w:ilvl w:val="0"/>
          <w:numId w:val="1"/>
        </w:numPr>
        <w:rPr>
          <w:rFonts w:cs="Times New Roman"/>
          <w:szCs w:val="24"/>
        </w:rPr>
      </w:pPr>
      <w:r>
        <w:rPr>
          <w:rFonts w:cs="Times New Roman"/>
          <w:szCs w:val="24"/>
        </w:rPr>
        <w:t xml:space="preserve">The Registrar of Deeds </w:t>
      </w:r>
      <w:r w:rsidR="00354555">
        <w:rPr>
          <w:rFonts w:cs="Times New Roman"/>
          <w:szCs w:val="24"/>
        </w:rPr>
        <w:t>be and is hereby prohibited forthwith from transferring the said house number 501 Nkulumane to anyone without an order of this court and / or directed to reverse the transfer that may have been done.</w:t>
      </w:r>
    </w:p>
    <w:p w:rsidR="00354555" w:rsidRDefault="0036288B" w:rsidP="00455EA7">
      <w:pPr>
        <w:pStyle w:val="ListParagraph"/>
        <w:numPr>
          <w:ilvl w:val="0"/>
          <w:numId w:val="1"/>
        </w:numPr>
        <w:rPr>
          <w:rFonts w:cs="Times New Roman"/>
          <w:szCs w:val="24"/>
        </w:rPr>
      </w:pPr>
      <w:r>
        <w:rPr>
          <w:rFonts w:cs="Times New Roman"/>
          <w:szCs w:val="24"/>
        </w:rPr>
        <w:t xml:space="preserve">The costs of suit by beneficiary respondents. </w:t>
      </w:r>
    </w:p>
    <w:p w:rsidR="00CF0AA4" w:rsidRDefault="00CF0AA4" w:rsidP="00CF0AA4">
      <w:pPr>
        <w:rPr>
          <w:rFonts w:cs="Times New Roman"/>
          <w:b/>
          <w:szCs w:val="24"/>
        </w:rPr>
      </w:pPr>
      <w:r w:rsidRPr="00CF0AA4">
        <w:rPr>
          <w:rFonts w:cs="Times New Roman"/>
          <w:b/>
          <w:szCs w:val="24"/>
        </w:rPr>
        <w:t xml:space="preserve">Factual background </w:t>
      </w:r>
    </w:p>
    <w:p w:rsidR="00CF0AA4" w:rsidRDefault="00CF0AA4" w:rsidP="00252FA2">
      <w:pPr>
        <w:jc w:val="both"/>
        <w:rPr>
          <w:color w:val="1F1F1F"/>
          <w:szCs w:val="24"/>
        </w:rPr>
      </w:pPr>
      <w:r>
        <w:rPr>
          <w:rFonts w:cs="Times New Roman"/>
          <w:b/>
          <w:szCs w:val="24"/>
        </w:rPr>
        <w:tab/>
      </w:r>
      <w:r w:rsidR="00FF0FD0" w:rsidRPr="00FF0FD0">
        <w:rPr>
          <w:color w:val="1F1F1F"/>
          <w:szCs w:val="24"/>
        </w:rPr>
        <w:t>This application will be better understood against the background that follows.</w:t>
      </w:r>
      <w:r w:rsidR="008B1EC9">
        <w:rPr>
          <w:color w:val="1F1F1F"/>
          <w:szCs w:val="24"/>
        </w:rPr>
        <w:t xml:space="preserve"> Melusi Sibanda </w:t>
      </w:r>
      <w:r w:rsidR="008E2435">
        <w:rPr>
          <w:color w:val="1F1F1F"/>
          <w:szCs w:val="24"/>
        </w:rPr>
        <w:t xml:space="preserve">(deceased) </w:t>
      </w:r>
      <w:r w:rsidR="008B1EC9">
        <w:rPr>
          <w:color w:val="1F1F1F"/>
          <w:szCs w:val="24"/>
        </w:rPr>
        <w:t>died on the 5</w:t>
      </w:r>
      <w:r w:rsidR="008B1EC9" w:rsidRPr="008B1EC9">
        <w:rPr>
          <w:color w:val="1F1F1F"/>
          <w:szCs w:val="24"/>
          <w:vertAlign w:val="superscript"/>
        </w:rPr>
        <w:t>th</w:t>
      </w:r>
      <w:r w:rsidR="008B1EC9">
        <w:rPr>
          <w:color w:val="1F1F1F"/>
          <w:szCs w:val="24"/>
        </w:rPr>
        <w:t xml:space="preserve"> September 2005. Clever Sibanda </w:t>
      </w:r>
      <w:r w:rsidR="009027A4">
        <w:rPr>
          <w:color w:val="1F1F1F"/>
          <w:szCs w:val="24"/>
        </w:rPr>
        <w:t xml:space="preserve">was by Letters of Administration issued on the 7 May 2009 appointed </w:t>
      </w:r>
      <w:r w:rsidR="00252FA2">
        <w:rPr>
          <w:color w:val="1F1F1F"/>
          <w:szCs w:val="24"/>
        </w:rPr>
        <w:t xml:space="preserve">the executor dative of the estate of Melusi </w:t>
      </w:r>
      <w:r w:rsidR="00252FA2">
        <w:rPr>
          <w:color w:val="1F1F1F"/>
          <w:szCs w:val="24"/>
        </w:rPr>
        <w:lastRenderedPageBreak/>
        <w:t xml:space="preserve">Sibanda. </w:t>
      </w:r>
      <w:r w:rsidR="00927CFA">
        <w:rPr>
          <w:color w:val="1F1F1F"/>
          <w:szCs w:val="24"/>
        </w:rPr>
        <w:t xml:space="preserve">The inventory filed with the Master shows that </w:t>
      </w:r>
      <w:r w:rsidR="00DC36CE">
        <w:rPr>
          <w:color w:val="1F1F1F"/>
          <w:szCs w:val="24"/>
        </w:rPr>
        <w:t>the estate had one asset, house number 501 Nkulumane, Bul</w:t>
      </w:r>
      <w:r w:rsidR="007D28C3">
        <w:rPr>
          <w:color w:val="1F1F1F"/>
          <w:szCs w:val="24"/>
        </w:rPr>
        <w:t xml:space="preserve">awayo </w:t>
      </w:r>
      <w:r w:rsidR="00EC074A">
        <w:rPr>
          <w:color w:val="1F1F1F"/>
          <w:szCs w:val="24"/>
        </w:rPr>
        <w:t xml:space="preserve">(property) </w:t>
      </w:r>
      <w:r w:rsidR="007D28C3">
        <w:rPr>
          <w:color w:val="1F1F1F"/>
          <w:szCs w:val="24"/>
        </w:rPr>
        <w:t xml:space="preserve">valued at USD$15 000.00. </w:t>
      </w:r>
      <w:r w:rsidR="00D815DF">
        <w:rPr>
          <w:color w:val="1F1F1F"/>
          <w:szCs w:val="24"/>
        </w:rPr>
        <w:t xml:space="preserve">A meeting was held at the Master’s office and it was agreed that </w:t>
      </w:r>
      <w:r w:rsidR="00A43987">
        <w:rPr>
          <w:color w:val="1F1F1F"/>
          <w:szCs w:val="24"/>
        </w:rPr>
        <w:t>“</w:t>
      </w:r>
      <w:r w:rsidR="00F559EC">
        <w:rPr>
          <w:color w:val="1F1F1F"/>
          <w:szCs w:val="24"/>
        </w:rPr>
        <w:t xml:space="preserve">the house </w:t>
      </w:r>
      <w:r w:rsidR="00A43987">
        <w:rPr>
          <w:color w:val="1F1F1F"/>
          <w:szCs w:val="24"/>
        </w:rPr>
        <w:t xml:space="preserve">would </w:t>
      </w:r>
      <w:r w:rsidR="00D83BCF">
        <w:rPr>
          <w:color w:val="1F1F1F"/>
          <w:szCs w:val="24"/>
        </w:rPr>
        <w:t xml:space="preserve">be sold </w:t>
      </w:r>
      <w:r w:rsidR="00A43987">
        <w:rPr>
          <w:color w:val="1F1F1F"/>
          <w:szCs w:val="24"/>
        </w:rPr>
        <w:t xml:space="preserve">by consent of all beneficiaries.” </w:t>
      </w:r>
      <w:r w:rsidR="00795D5F">
        <w:rPr>
          <w:color w:val="1F1F1F"/>
          <w:szCs w:val="24"/>
        </w:rPr>
        <w:t xml:space="preserve">On the 12 March 2020, the Master in terms of section 120 of the Administration of Estates Act [Chapter 6:01] </w:t>
      </w:r>
      <w:r w:rsidR="003344EB">
        <w:rPr>
          <w:color w:val="1F1F1F"/>
          <w:szCs w:val="24"/>
        </w:rPr>
        <w:t xml:space="preserve">authorized </w:t>
      </w:r>
      <w:r w:rsidR="00EC074A">
        <w:rPr>
          <w:color w:val="1F1F1F"/>
          <w:szCs w:val="24"/>
        </w:rPr>
        <w:t>the Executor to sell the property</w:t>
      </w:r>
      <w:r w:rsidR="003344EB">
        <w:rPr>
          <w:color w:val="1F1F1F"/>
          <w:szCs w:val="24"/>
        </w:rPr>
        <w:t xml:space="preserve"> otherwise than by public auction</w:t>
      </w:r>
      <w:r w:rsidR="00EC074A">
        <w:rPr>
          <w:color w:val="1F1F1F"/>
          <w:szCs w:val="24"/>
        </w:rPr>
        <w:t>.</w:t>
      </w:r>
      <w:r w:rsidR="00B06053">
        <w:rPr>
          <w:color w:val="1F1F1F"/>
          <w:szCs w:val="24"/>
        </w:rPr>
        <w:t xml:space="preserve"> On the 1</w:t>
      </w:r>
      <w:r w:rsidR="00B06053" w:rsidRPr="00B06053">
        <w:rPr>
          <w:color w:val="1F1F1F"/>
          <w:szCs w:val="24"/>
          <w:vertAlign w:val="superscript"/>
        </w:rPr>
        <w:t>st</w:t>
      </w:r>
      <w:r w:rsidR="00B06053">
        <w:rPr>
          <w:color w:val="1F1F1F"/>
          <w:szCs w:val="24"/>
        </w:rPr>
        <w:t xml:space="preserve"> September 2020, the Executor signed an agreement of sale with </w:t>
      </w:r>
      <w:r w:rsidR="00634005">
        <w:rPr>
          <w:color w:val="1F1F1F"/>
          <w:szCs w:val="24"/>
        </w:rPr>
        <w:t>the 2</w:t>
      </w:r>
      <w:r w:rsidR="00634005" w:rsidRPr="00634005">
        <w:rPr>
          <w:color w:val="1F1F1F"/>
          <w:szCs w:val="24"/>
          <w:vertAlign w:val="superscript"/>
        </w:rPr>
        <w:t>nd</w:t>
      </w:r>
      <w:r w:rsidR="00634005">
        <w:rPr>
          <w:color w:val="1F1F1F"/>
          <w:szCs w:val="24"/>
        </w:rPr>
        <w:t xml:space="preserve"> respondent in respect of the property. </w:t>
      </w:r>
      <w:r w:rsidR="006F3C7C">
        <w:rPr>
          <w:color w:val="1F1F1F"/>
          <w:szCs w:val="24"/>
        </w:rPr>
        <w:t xml:space="preserve">The property was sold for USD$14 000.00, and the Executor received the payment of </w:t>
      </w:r>
      <w:r w:rsidR="0096077D">
        <w:rPr>
          <w:color w:val="1F1F1F"/>
          <w:szCs w:val="24"/>
        </w:rPr>
        <w:t>purchase price. He acknowledg</w:t>
      </w:r>
      <w:r w:rsidR="00B272EB">
        <w:rPr>
          <w:color w:val="1F1F1F"/>
          <w:szCs w:val="24"/>
        </w:rPr>
        <w:t>ed in writing the receipt of such</w:t>
      </w:r>
      <w:r w:rsidR="0096077D">
        <w:rPr>
          <w:color w:val="1F1F1F"/>
          <w:szCs w:val="24"/>
        </w:rPr>
        <w:t xml:space="preserve"> purchase price. </w:t>
      </w:r>
    </w:p>
    <w:p w:rsidR="00931AB9" w:rsidRDefault="004F5F5D" w:rsidP="00B6285A">
      <w:pPr>
        <w:jc w:val="both"/>
        <w:rPr>
          <w:color w:val="1F1F1F"/>
          <w:szCs w:val="24"/>
        </w:rPr>
      </w:pPr>
      <w:r>
        <w:rPr>
          <w:color w:val="1F1F1F"/>
          <w:szCs w:val="24"/>
        </w:rPr>
        <w:tab/>
      </w:r>
      <w:r w:rsidR="00146030">
        <w:rPr>
          <w:color w:val="1F1F1F"/>
          <w:szCs w:val="24"/>
        </w:rPr>
        <w:t xml:space="preserve">Applicant </w:t>
      </w:r>
      <w:r w:rsidR="008E2435">
        <w:rPr>
          <w:color w:val="1F1F1F"/>
          <w:szCs w:val="24"/>
        </w:rPr>
        <w:t xml:space="preserve">and the </w:t>
      </w:r>
      <w:r w:rsidR="008E2435">
        <w:rPr>
          <w:sz w:val="23"/>
          <w:szCs w:val="23"/>
        </w:rPr>
        <w:t>1</w:t>
      </w:r>
      <w:r w:rsidR="008E2435" w:rsidRPr="003D685A">
        <w:rPr>
          <w:sz w:val="23"/>
          <w:szCs w:val="23"/>
          <w:vertAlign w:val="superscript"/>
        </w:rPr>
        <w:t>st</w:t>
      </w:r>
      <w:r w:rsidR="008E2435">
        <w:rPr>
          <w:sz w:val="23"/>
          <w:szCs w:val="23"/>
        </w:rPr>
        <w:t>, 5</w:t>
      </w:r>
      <w:r w:rsidR="008E2435" w:rsidRPr="003D685A">
        <w:rPr>
          <w:sz w:val="23"/>
          <w:szCs w:val="23"/>
          <w:vertAlign w:val="superscript"/>
        </w:rPr>
        <w:t>th</w:t>
      </w:r>
      <w:r w:rsidR="008E2435">
        <w:rPr>
          <w:sz w:val="23"/>
          <w:szCs w:val="23"/>
        </w:rPr>
        <w:t>, 6</w:t>
      </w:r>
      <w:r w:rsidR="008E2435" w:rsidRPr="003D685A">
        <w:rPr>
          <w:sz w:val="23"/>
          <w:szCs w:val="23"/>
          <w:vertAlign w:val="superscript"/>
        </w:rPr>
        <w:t>th</w:t>
      </w:r>
      <w:r w:rsidR="008E2435">
        <w:rPr>
          <w:sz w:val="23"/>
          <w:szCs w:val="23"/>
        </w:rPr>
        <w:t>, 7</w:t>
      </w:r>
      <w:r w:rsidR="008E2435" w:rsidRPr="003D685A">
        <w:rPr>
          <w:sz w:val="23"/>
          <w:szCs w:val="23"/>
          <w:vertAlign w:val="superscript"/>
        </w:rPr>
        <w:t>th</w:t>
      </w:r>
      <w:r w:rsidR="008E2435">
        <w:rPr>
          <w:sz w:val="23"/>
          <w:szCs w:val="23"/>
        </w:rPr>
        <w:t>, 8</w:t>
      </w:r>
      <w:r w:rsidR="008E2435" w:rsidRPr="003D685A">
        <w:rPr>
          <w:sz w:val="23"/>
          <w:szCs w:val="23"/>
          <w:vertAlign w:val="superscript"/>
        </w:rPr>
        <w:t>th</w:t>
      </w:r>
      <w:r w:rsidR="008E2435">
        <w:rPr>
          <w:sz w:val="23"/>
          <w:szCs w:val="23"/>
        </w:rPr>
        <w:t>, 9</w:t>
      </w:r>
      <w:r w:rsidR="008E2435" w:rsidRPr="001D2343">
        <w:rPr>
          <w:sz w:val="23"/>
          <w:szCs w:val="23"/>
          <w:vertAlign w:val="superscript"/>
        </w:rPr>
        <w:t>th</w:t>
      </w:r>
      <w:r w:rsidR="008E2435">
        <w:rPr>
          <w:sz w:val="23"/>
          <w:szCs w:val="23"/>
        </w:rPr>
        <w:t>, 10</w:t>
      </w:r>
      <w:r w:rsidR="008E2435" w:rsidRPr="001D2343">
        <w:rPr>
          <w:sz w:val="23"/>
          <w:szCs w:val="23"/>
          <w:vertAlign w:val="superscript"/>
        </w:rPr>
        <w:t>th</w:t>
      </w:r>
      <w:r w:rsidR="008E2435">
        <w:rPr>
          <w:sz w:val="23"/>
          <w:szCs w:val="23"/>
        </w:rPr>
        <w:t xml:space="preserve"> and 11</w:t>
      </w:r>
      <w:r w:rsidR="008E2435" w:rsidRPr="001D2343">
        <w:rPr>
          <w:sz w:val="23"/>
          <w:szCs w:val="23"/>
          <w:vertAlign w:val="superscript"/>
        </w:rPr>
        <w:t>th</w:t>
      </w:r>
      <w:r w:rsidR="008E2435">
        <w:rPr>
          <w:color w:val="1F1F1F"/>
          <w:szCs w:val="24"/>
        </w:rPr>
        <w:t xml:space="preserve"> are the children of the deceased and henc</w:t>
      </w:r>
      <w:r w:rsidR="0051054A">
        <w:rPr>
          <w:color w:val="1F1F1F"/>
          <w:szCs w:val="24"/>
        </w:rPr>
        <w:t xml:space="preserve">e beneficiaries in his estate. There are other children of the deceased who have since died. </w:t>
      </w:r>
      <w:r w:rsidR="00EF6CB4">
        <w:rPr>
          <w:color w:val="1F1F1F"/>
          <w:szCs w:val="24"/>
        </w:rPr>
        <w:t xml:space="preserve">Applicant contends that he and the children of the deceased </w:t>
      </w:r>
      <w:r w:rsidR="00F416AD">
        <w:rPr>
          <w:color w:val="1F1F1F"/>
          <w:szCs w:val="24"/>
        </w:rPr>
        <w:t>siblings were not consulted</w:t>
      </w:r>
      <w:r w:rsidR="00901FDF">
        <w:rPr>
          <w:color w:val="1F1F1F"/>
          <w:szCs w:val="24"/>
        </w:rPr>
        <w:t xml:space="preserve"> and </w:t>
      </w:r>
      <w:r w:rsidR="00EF6CB4">
        <w:rPr>
          <w:color w:val="1F1F1F"/>
          <w:szCs w:val="24"/>
        </w:rPr>
        <w:t>did not consent t</w:t>
      </w:r>
      <w:r w:rsidR="00F416AD">
        <w:rPr>
          <w:color w:val="1F1F1F"/>
          <w:szCs w:val="24"/>
        </w:rPr>
        <w:t>o the sale of the prop</w:t>
      </w:r>
      <w:r w:rsidR="00931AB9">
        <w:rPr>
          <w:color w:val="1F1F1F"/>
          <w:szCs w:val="24"/>
        </w:rPr>
        <w:t>e</w:t>
      </w:r>
      <w:r w:rsidR="00F416AD">
        <w:rPr>
          <w:color w:val="1F1F1F"/>
          <w:szCs w:val="24"/>
        </w:rPr>
        <w:t>rty</w:t>
      </w:r>
      <w:r w:rsidR="00EF6CB4">
        <w:rPr>
          <w:color w:val="1F1F1F"/>
          <w:szCs w:val="24"/>
        </w:rPr>
        <w:t xml:space="preserve">. </w:t>
      </w:r>
      <w:r w:rsidR="00901FDF">
        <w:rPr>
          <w:color w:val="1F1F1F"/>
          <w:szCs w:val="24"/>
        </w:rPr>
        <w:t xml:space="preserve">He says he and such children did not receive a share </w:t>
      </w:r>
      <w:r w:rsidR="00735FA6">
        <w:rPr>
          <w:color w:val="1F1F1F"/>
          <w:szCs w:val="24"/>
        </w:rPr>
        <w:t xml:space="preserve">from the proceeds of the sale of the property. </w:t>
      </w:r>
    </w:p>
    <w:p w:rsidR="00957214" w:rsidRPr="00B6285A" w:rsidRDefault="00A02FBA" w:rsidP="00931AB9">
      <w:pPr>
        <w:ind w:firstLine="720"/>
        <w:jc w:val="both"/>
        <w:rPr>
          <w:color w:val="1F1F1F"/>
          <w:szCs w:val="24"/>
        </w:rPr>
      </w:pPr>
      <w:r>
        <w:rPr>
          <w:color w:val="1F1F1F"/>
          <w:szCs w:val="24"/>
        </w:rPr>
        <w:t xml:space="preserve">It is alleged that the Master did not conduct </w:t>
      </w:r>
      <w:r w:rsidR="00931AB9">
        <w:rPr>
          <w:color w:val="1F1F1F"/>
          <w:szCs w:val="24"/>
        </w:rPr>
        <w:t>a due inquiry before issuing a</w:t>
      </w:r>
      <w:r>
        <w:rPr>
          <w:color w:val="1F1F1F"/>
          <w:szCs w:val="24"/>
        </w:rPr>
        <w:t xml:space="preserve"> section 120 authority, it is contended that if </w:t>
      </w:r>
      <w:r w:rsidR="00931AB9">
        <w:rPr>
          <w:color w:val="1F1F1F"/>
          <w:szCs w:val="24"/>
        </w:rPr>
        <w:t>s</w:t>
      </w:r>
      <w:r>
        <w:rPr>
          <w:color w:val="1F1F1F"/>
          <w:szCs w:val="24"/>
        </w:rPr>
        <w:t xml:space="preserve">he had done so he would have realized that not all beneficiaries </w:t>
      </w:r>
      <w:r w:rsidR="00CE06F1">
        <w:rPr>
          <w:color w:val="1F1F1F"/>
          <w:szCs w:val="24"/>
        </w:rPr>
        <w:t xml:space="preserve">had been consulted and consented to the sale, and that the </w:t>
      </w:r>
      <w:r w:rsidR="008C6C14">
        <w:rPr>
          <w:color w:val="1F1F1F"/>
          <w:szCs w:val="24"/>
        </w:rPr>
        <w:t xml:space="preserve">value of the property was not established on the date the certificate was issued. </w:t>
      </w:r>
      <w:r w:rsidR="00957214" w:rsidRPr="00957214">
        <w:rPr>
          <w:szCs w:val="24"/>
        </w:rPr>
        <w:t>It is against this background that applicant has launched this application seeking the relief mentioned above.</w:t>
      </w:r>
    </w:p>
    <w:p w:rsidR="00105E03" w:rsidRDefault="00105E03" w:rsidP="00105E03">
      <w:pPr>
        <w:rPr>
          <w:rFonts w:cs="Times New Roman"/>
          <w:b/>
          <w:szCs w:val="24"/>
        </w:rPr>
      </w:pPr>
      <w:r w:rsidRPr="00CF0AA4">
        <w:rPr>
          <w:rFonts w:cs="Times New Roman"/>
          <w:b/>
          <w:szCs w:val="24"/>
        </w:rPr>
        <w:t>Preliminary points</w:t>
      </w:r>
    </w:p>
    <w:p w:rsidR="00716214" w:rsidRDefault="00531FC2" w:rsidP="00C81EEC">
      <w:pPr>
        <w:autoSpaceDE w:val="0"/>
        <w:autoSpaceDN w:val="0"/>
        <w:adjustRightInd w:val="0"/>
        <w:spacing w:after="0"/>
        <w:ind w:firstLine="720"/>
        <w:jc w:val="both"/>
        <w:rPr>
          <w:rFonts w:cs="Times New Roman"/>
          <w:szCs w:val="24"/>
        </w:rPr>
      </w:pPr>
      <w:r w:rsidRPr="00FD5891">
        <w:rPr>
          <w:rFonts w:cs="Times New Roman"/>
          <w:szCs w:val="24"/>
        </w:rPr>
        <w:t xml:space="preserve"> Each side made every effort to outdo the other</w:t>
      </w:r>
      <w:r>
        <w:rPr>
          <w:rFonts w:cs="Times New Roman"/>
          <w:szCs w:val="24"/>
        </w:rPr>
        <w:t xml:space="preserve"> side on the basis of preliminary points</w:t>
      </w:r>
      <w:r w:rsidRPr="00FD5891">
        <w:rPr>
          <w:rFonts w:cs="Times New Roman"/>
          <w:i/>
          <w:szCs w:val="24"/>
        </w:rPr>
        <w:t xml:space="preserve">. </w:t>
      </w:r>
      <w:r w:rsidRPr="00FD5891">
        <w:rPr>
          <w:rFonts w:cs="Times New Roman"/>
          <w:color w:val="1F1F1F"/>
          <w:szCs w:val="24"/>
        </w:rPr>
        <w:t>At the commencement of the hearing I informed the parties that</w:t>
      </w:r>
      <w:r w:rsidRPr="00FD5891">
        <w:rPr>
          <w:rFonts w:cs="Times New Roman"/>
          <w:szCs w:val="24"/>
        </w:rPr>
        <w:t xml:space="preserve"> I shall adopt a holistic approach. This approach avoids a piece-meal treatme</w:t>
      </w:r>
      <w:r w:rsidR="0040283D">
        <w:rPr>
          <w:rFonts w:cs="Times New Roman"/>
          <w:szCs w:val="24"/>
        </w:rPr>
        <w:t>nt of the matter, and</w:t>
      </w:r>
      <w:r w:rsidRPr="00FD5891">
        <w:rPr>
          <w:rFonts w:cs="Times New Roman"/>
          <w:szCs w:val="24"/>
        </w:rPr>
        <w:t xml:space="preserve"> </w:t>
      </w:r>
      <w:r w:rsidR="00FC0C57">
        <w:rPr>
          <w:rFonts w:cs="Times New Roman"/>
          <w:szCs w:val="24"/>
        </w:rPr>
        <w:t xml:space="preserve">the preliminary points </w:t>
      </w:r>
      <w:r w:rsidRPr="00FD5891">
        <w:rPr>
          <w:rFonts w:cs="Times New Roman"/>
          <w:szCs w:val="24"/>
        </w:rPr>
        <w:t xml:space="preserve">are argued together with the merits, but when the court retires to consider the matter it may dispose of </w:t>
      </w:r>
      <w:r>
        <w:rPr>
          <w:rFonts w:cs="Times New Roman"/>
          <w:szCs w:val="24"/>
        </w:rPr>
        <w:t>the matter solely on the</w:t>
      </w:r>
      <w:r w:rsidR="009C4BBD">
        <w:rPr>
          <w:rFonts w:cs="Times New Roman"/>
          <w:szCs w:val="24"/>
        </w:rPr>
        <w:t xml:space="preserve"> basis of the preliminary points</w:t>
      </w:r>
      <w:r w:rsidRPr="00FD5891">
        <w:rPr>
          <w:rFonts w:cs="Times New Roman"/>
          <w:szCs w:val="24"/>
        </w:rPr>
        <w:t xml:space="preserve"> despite that they were argued together with the merits.</w:t>
      </w:r>
      <w:r w:rsidR="00C81EEC">
        <w:rPr>
          <w:rFonts w:cs="Times New Roman"/>
          <w:szCs w:val="24"/>
        </w:rPr>
        <w:t xml:space="preserve"> </w:t>
      </w:r>
      <w:r w:rsidRPr="00FD5891">
        <w:rPr>
          <w:rFonts w:cs="Times New Roman"/>
          <w:szCs w:val="24"/>
        </w:rPr>
        <w:t xml:space="preserve">I now </w:t>
      </w:r>
      <w:r w:rsidR="009C4BBD">
        <w:rPr>
          <w:rFonts w:cs="Times New Roman"/>
          <w:szCs w:val="24"/>
        </w:rPr>
        <w:t xml:space="preserve">turn to </w:t>
      </w:r>
      <w:r w:rsidRPr="00FD5891">
        <w:rPr>
          <w:rFonts w:cs="Times New Roman"/>
          <w:szCs w:val="24"/>
        </w:rPr>
        <w:t>consider the</w:t>
      </w:r>
      <w:r w:rsidR="009C4BBD">
        <w:rPr>
          <w:rFonts w:cs="Times New Roman"/>
          <w:szCs w:val="24"/>
        </w:rPr>
        <w:t xml:space="preserve"> preliminary points taken by the parties. </w:t>
      </w:r>
    </w:p>
    <w:p w:rsidR="006B3518" w:rsidRDefault="006B3518" w:rsidP="00DE59EE">
      <w:pPr>
        <w:autoSpaceDE w:val="0"/>
        <w:autoSpaceDN w:val="0"/>
        <w:adjustRightInd w:val="0"/>
        <w:spacing w:after="0"/>
        <w:jc w:val="both"/>
        <w:rPr>
          <w:rFonts w:cs="Times New Roman"/>
          <w:b/>
          <w:szCs w:val="24"/>
        </w:rPr>
      </w:pPr>
    </w:p>
    <w:p w:rsidR="006B3518" w:rsidRDefault="006B3518" w:rsidP="00DE59EE">
      <w:pPr>
        <w:autoSpaceDE w:val="0"/>
        <w:autoSpaceDN w:val="0"/>
        <w:adjustRightInd w:val="0"/>
        <w:spacing w:after="0"/>
        <w:jc w:val="both"/>
        <w:rPr>
          <w:rFonts w:cs="Times New Roman"/>
          <w:b/>
          <w:szCs w:val="24"/>
        </w:rPr>
      </w:pPr>
    </w:p>
    <w:p w:rsidR="00DE59EE" w:rsidRPr="00DE59EE" w:rsidRDefault="00DE59EE" w:rsidP="00DE59EE">
      <w:pPr>
        <w:autoSpaceDE w:val="0"/>
        <w:autoSpaceDN w:val="0"/>
        <w:adjustRightInd w:val="0"/>
        <w:spacing w:after="0"/>
        <w:jc w:val="both"/>
        <w:rPr>
          <w:rFonts w:cs="Times New Roman"/>
          <w:b/>
          <w:szCs w:val="24"/>
        </w:rPr>
      </w:pPr>
      <w:r w:rsidRPr="00DE59EE">
        <w:rPr>
          <w:rFonts w:cs="Times New Roman"/>
          <w:b/>
          <w:szCs w:val="24"/>
        </w:rPr>
        <w:lastRenderedPageBreak/>
        <w:t xml:space="preserve">Preliminary points taken by the applicant </w:t>
      </w:r>
    </w:p>
    <w:p w:rsidR="005244DD" w:rsidRDefault="005244DD" w:rsidP="00716214">
      <w:pPr>
        <w:autoSpaceDE w:val="0"/>
        <w:autoSpaceDN w:val="0"/>
        <w:adjustRightInd w:val="0"/>
        <w:spacing w:after="0"/>
        <w:ind w:firstLine="720"/>
        <w:jc w:val="both"/>
        <w:rPr>
          <w:rFonts w:cs="Times New Roman"/>
          <w:szCs w:val="24"/>
        </w:rPr>
      </w:pPr>
      <w:r>
        <w:rPr>
          <w:rFonts w:cs="Times New Roman"/>
          <w:szCs w:val="24"/>
        </w:rPr>
        <w:t>Applicant rais</w:t>
      </w:r>
      <w:r w:rsidR="00716214">
        <w:rPr>
          <w:rFonts w:cs="Times New Roman"/>
          <w:szCs w:val="24"/>
        </w:rPr>
        <w:t xml:space="preserve">ed two preliminary points </w:t>
      </w:r>
      <w:r w:rsidR="00716214" w:rsidRPr="002C719D">
        <w:rPr>
          <w:rFonts w:cs="Times New Roman"/>
          <w:i/>
          <w:szCs w:val="24"/>
        </w:rPr>
        <w:t>vi</w:t>
      </w:r>
      <w:r w:rsidR="0040283D">
        <w:rPr>
          <w:rFonts w:cs="Times New Roman"/>
          <w:i/>
          <w:szCs w:val="24"/>
        </w:rPr>
        <w:t>z</w:t>
      </w:r>
      <w:r w:rsidR="002C719D">
        <w:rPr>
          <w:rFonts w:cs="Times New Roman"/>
          <w:szCs w:val="24"/>
        </w:rPr>
        <w:t xml:space="preserve"> first</w:t>
      </w:r>
      <w:r w:rsidR="00B2080D" w:rsidRPr="002C719D">
        <w:rPr>
          <w:rFonts w:cs="Times New Roman"/>
          <w:szCs w:val="24"/>
        </w:rPr>
        <w:t xml:space="preserve"> </w:t>
      </w:r>
      <w:r w:rsidR="00B2080D">
        <w:rPr>
          <w:rFonts w:cs="Times New Roman"/>
          <w:szCs w:val="24"/>
        </w:rPr>
        <w:t>that there is no notice of opposition filed by the 2</w:t>
      </w:r>
      <w:r w:rsidR="00B2080D" w:rsidRPr="00B2080D">
        <w:rPr>
          <w:rFonts w:cs="Times New Roman"/>
          <w:szCs w:val="24"/>
          <w:vertAlign w:val="superscript"/>
        </w:rPr>
        <w:t>nd</w:t>
      </w:r>
      <w:r w:rsidR="00B2080D">
        <w:rPr>
          <w:rFonts w:cs="Times New Roman"/>
          <w:szCs w:val="24"/>
        </w:rPr>
        <w:t xml:space="preserve"> respondent, and the matter must be considered on the basis that it is not opposed. </w:t>
      </w:r>
      <w:r w:rsidR="002C719D">
        <w:rPr>
          <w:rFonts w:cs="Times New Roman"/>
          <w:szCs w:val="24"/>
        </w:rPr>
        <w:t>Second that 2</w:t>
      </w:r>
      <w:r w:rsidR="002C719D" w:rsidRPr="002C719D">
        <w:rPr>
          <w:rFonts w:cs="Times New Roman"/>
          <w:szCs w:val="24"/>
          <w:vertAlign w:val="superscript"/>
        </w:rPr>
        <w:t>nd</w:t>
      </w:r>
      <w:r w:rsidR="002C719D">
        <w:rPr>
          <w:rFonts w:cs="Times New Roman"/>
          <w:szCs w:val="24"/>
        </w:rPr>
        <w:t xml:space="preserve"> respondent’s heads of argument were not filed in compl</w:t>
      </w:r>
      <w:r w:rsidR="00C81EEC">
        <w:rPr>
          <w:rFonts w:cs="Times New Roman"/>
          <w:szCs w:val="24"/>
        </w:rPr>
        <w:t xml:space="preserve">iance with the rules of court, and therefore they are not properly before court. </w:t>
      </w:r>
    </w:p>
    <w:p w:rsidR="005244DD" w:rsidRDefault="00664893" w:rsidP="007D6742">
      <w:pPr>
        <w:ind w:firstLine="720"/>
        <w:jc w:val="both"/>
        <w:rPr>
          <w:rFonts w:cs="Times New Roman"/>
          <w:szCs w:val="24"/>
        </w:rPr>
      </w:pPr>
      <w:r>
        <w:rPr>
          <w:rFonts w:cs="Times New Roman"/>
          <w:szCs w:val="24"/>
        </w:rPr>
        <w:t>Applicant contends that the notice of opposition filed by 2</w:t>
      </w:r>
      <w:r w:rsidRPr="00664893">
        <w:rPr>
          <w:rFonts w:cs="Times New Roman"/>
          <w:szCs w:val="24"/>
          <w:vertAlign w:val="superscript"/>
        </w:rPr>
        <w:t>nd</w:t>
      </w:r>
      <w:r>
        <w:rPr>
          <w:rFonts w:cs="Times New Roman"/>
          <w:szCs w:val="24"/>
        </w:rPr>
        <w:t xml:space="preserve"> respondent is not in compliance with ru</w:t>
      </w:r>
      <w:r w:rsidR="0076543C">
        <w:rPr>
          <w:rFonts w:cs="Times New Roman"/>
          <w:szCs w:val="24"/>
        </w:rPr>
        <w:t>l</w:t>
      </w:r>
      <w:r>
        <w:rPr>
          <w:rFonts w:cs="Times New Roman"/>
          <w:szCs w:val="24"/>
        </w:rPr>
        <w:t xml:space="preserve">e 233(1) of the High Court Rules, 1971, </w:t>
      </w:r>
      <w:r w:rsidR="0001172D">
        <w:rPr>
          <w:rFonts w:cs="Times New Roman"/>
          <w:szCs w:val="24"/>
        </w:rPr>
        <w:t>it is invalid.</w:t>
      </w:r>
      <w:r w:rsidR="00190653">
        <w:rPr>
          <w:rStyle w:val="FootnoteReference"/>
          <w:rFonts w:cs="Times New Roman"/>
          <w:szCs w:val="24"/>
        </w:rPr>
        <w:footnoteReference w:id="1"/>
      </w:r>
      <w:r w:rsidR="0076543C">
        <w:rPr>
          <w:rFonts w:cs="Times New Roman"/>
          <w:szCs w:val="24"/>
        </w:rPr>
        <w:t xml:space="preserve"> </w:t>
      </w:r>
      <w:r w:rsidR="007D6742">
        <w:rPr>
          <w:rFonts w:cs="Times New Roman"/>
          <w:szCs w:val="24"/>
        </w:rPr>
        <w:t xml:space="preserve"> It is argued that t</w:t>
      </w:r>
      <w:r w:rsidR="00A9783E">
        <w:rPr>
          <w:rFonts w:cs="Times New Roman"/>
          <w:szCs w:val="24"/>
        </w:rPr>
        <w:t>he notice of opposition being invalid there is no opposition and the 2</w:t>
      </w:r>
      <w:r w:rsidR="00A9783E" w:rsidRPr="00A9783E">
        <w:rPr>
          <w:rFonts w:cs="Times New Roman"/>
          <w:szCs w:val="24"/>
          <w:vertAlign w:val="superscript"/>
        </w:rPr>
        <w:t>nd</w:t>
      </w:r>
      <w:r w:rsidR="00A9783E">
        <w:rPr>
          <w:rFonts w:cs="Times New Roman"/>
          <w:szCs w:val="24"/>
        </w:rPr>
        <w:t xml:space="preserve"> respondent in barred in terms of rule 233(3) of the rules. </w:t>
      </w:r>
      <w:r w:rsidR="007D6742">
        <w:rPr>
          <w:rFonts w:cs="Times New Roman"/>
          <w:szCs w:val="24"/>
        </w:rPr>
        <w:t xml:space="preserve">It is contended that there being no notice of opposition the application is unopposed. </w:t>
      </w:r>
    </w:p>
    <w:p w:rsidR="00D206A9" w:rsidRDefault="00B04969" w:rsidP="009C0A9D">
      <w:pPr>
        <w:ind w:firstLine="720"/>
        <w:jc w:val="both"/>
        <w:rPr>
          <w:rFonts w:cs="Times New Roman"/>
          <w:szCs w:val="24"/>
          <w:lang w:val="en-ZW"/>
        </w:rPr>
      </w:pPr>
      <w:r>
        <w:rPr>
          <w:rFonts w:cs="Times New Roman"/>
          <w:szCs w:val="24"/>
        </w:rPr>
        <w:t>The basis of this</w:t>
      </w:r>
      <w:r w:rsidR="00D96C6D">
        <w:rPr>
          <w:rFonts w:cs="Times New Roman"/>
          <w:szCs w:val="24"/>
        </w:rPr>
        <w:t xml:space="preserve"> preliminary point is that t</w:t>
      </w:r>
      <w:r w:rsidR="009C0A9D" w:rsidRPr="009C0A9D">
        <w:rPr>
          <w:rFonts w:cs="Times New Roman"/>
          <w:szCs w:val="24"/>
        </w:rPr>
        <w:t>he notice of opposition is not in compliance with rule 233(1) of the rules, which provides that</w:t>
      </w:r>
      <w:r w:rsidR="007F11CE" w:rsidRPr="009C0A9D">
        <w:rPr>
          <w:rFonts w:cs="Times New Roman"/>
          <w:szCs w:val="24"/>
        </w:rPr>
        <w:t xml:space="preserve"> </w:t>
      </w:r>
      <w:r w:rsidR="009C0A9D" w:rsidRPr="009C0A9D">
        <w:rPr>
          <w:rFonts w:cs="Times New Roman"/>
          <w:szCs w:val="24"/>
          <w:lang w:val="en-ZW"/>
        </w:rPr>
        <w:t>t</w:t>
      </w:r>
      <w:r w:rsidR="00D206A9" w:rsidRPr="009C0A9D">
        <w:rPr>
          <w:rFonts w:cs="Times New Roman"/>
          <w:szCs w:val="24"/>
          <w:lang w:val="en-ZW"/>
        </w:rPr>
        <w:t>he respondent shall be entitled, within the time given in the court application in accordance with rule</w:t>
      </w:r>
      <w:r w:rsidR="009C0A9D" w:rsidRPr="009C0A9D">
        <w:rPr>
          <w:rFonts w:cs="Times New Roman"/>
          <w:szCs w:val="24"/>
        </w:rPr>
        <w:t xml:space="preserve"> </w:t>
      </w:r>
      <w:r w:rsidR="00D206A9" w:rsidRPr="009C0A9D">
        <w:rPr>
          <w:rFonts w:cs="Times New Roman"/>
          <w:szCs w:val="24"/>
          <w:lang w:val="en-ZW"/>
        </w:rPr>
        <w:t>232, to file a notice of opposition in Form No. 29A, together with one or more opposing affidavits.</w:t>
      </w:r>
      <w:r w:rsidR="009C0A9D">
        <w:rPr>
          <w:rFonts w:cs="Times New Roman"/>
          <w:szCs w:val="24"/>
          <w:lang w:val="en-ZW"/>
        </w:rPr>
        <w:t xml:space="preserve"> </w:t>
      </w:r>
      <w:r w:rsidR="00264677">
        <w:rPr>
          <w:rFonts w:cs="Times New Roman"/>
          <w:szCs w:val="24"/>
          <w:lang w:val="en-ZW"/>
        </w:rPr>
        <w:t>In terms of Form 29A a</w:t>
      </w:r>
      <w:r w:rsidR="00797C0C">
        <w:rPr>
          <w:rFonts w:cs="Times New Roman"/>
          <w:szCs w:val="24"/>
          <w:lang w:val="en-ZW"/>
        </w:rPr>
        <w:t xml:space="preserve"> notice of opposition must be signed by the respondent or </w:t>
      </w:r>
      <w:r w:rsidR="003E788F">
        <w:rPr>
          <w:rFonts w:cs="Times New Roman"/>
          <w:szCs w:val="24"/>
          <w:lang w:val="en-ZW"/>
        </w:rPr>
        <w:t xml:space="preserve">his legal practitioner and </w:t>
      </w:r>
      <w:r w:rsidR="00264677">
        <w:rPr>
          <w:rFonts w:cs="Times New Roman"/>
          <w:szCs w:val="24"/>
          <w:lang w:val="en-ZW"/>
        </w:rPr>
        <w:t>addressed to the Re</w:t>
      </w:r>
      <w:r w:rsidR="008F60C6">
        <w:rPr>
          <w:rFonts w:cs="Times New Roman"/>
          <w:szCs w:val="24"/>
          <w:lang w:val="en-ZW"/>
        </w:rPr>
        <w:t>gistrar of this court and copied to the</w:t>
      </w:r>
      <w:r w:rsidR="00264677">
        <w:rPr>
          <w:rFonts w:cs="Times New Roman"/>
          <w:szCs w:val="24"/>
          <w:lang w:val="en-ZW"/>
        </w:rPr>
        <w:t xml:space="preserve"> applicant or his legal practitioner. </w:t>
      </w:r>
      <w:r w:rsidR="00A0553F">
        <w:rPr>
          <w:rFonts w:cs="Times New Roman"/>
          <w:szCs w:val="24"/>
          <w:lang w:val="en-ZW"/>
        </w:rPr>
        <w:t>Applicant’s complaint is that 2</w:t>
      </w:r>
      <w:r w:rsidR="00A0553F" w:rsidRPr="00A0553F">
        <w:rPr>
          <w:rFonts w:cs="Times New Roman"/>
          <w:szCs w:val="24"/>
          <w:vertAlign w:val="superscript"/>
          <w:lang w:val="en-ZW"/>
        </w:rPr>
        <w:t>nd</w:t>
      </w:r>
      <w:r w:rsidR="00A0553F">
        <w:rPr>
          <w:rFonts w:cs="Times New Roman"/>
          <w:szCs w:val="24"/>
          <w:lang w:val="en-ZW"/>
        </w:rPr>
        <w:t xml:space="preserve"> respondent’s notice of opposition </w:t>
      </w:r>
      <w:r w:rsidR="00D3576D">
        <w:rPr>
          <w:rFonts w:cs="Times New Roman"/>
          <w:szCs w:val="24"/>
          <w:lang w:val="en-ZW"/>
        </w:rPr>
        <w:t>was</w:t>
      </w:r>
      <w:r w:rsidR="007E5FDC">
        <w:rPr>
          <w:rFonts w:cs="Times New Roman"/>
          <w:szCs w:val="24"/>
          <w:lang w:val="en-ZW"/>
        </w:rPr>
        <w:t xml:space="preserve"> not addressed </w:t>
      </w:r>
      <w:r w:rsidR="00D3576D">
        <w:rPr>
          <w:rFonts w:cs="Times New Roman"/>
          <w:szCs w:val="24"/>
          <w:lang w:val="en-ZW"/>
        </w:rPr>
        <w:t xml:space="preserve">to him as the applicant. </w:t>
      </w:r>
    </w:p>
    <w:p w:rsidR="00E55C07" w:rsidRDefault="00E55C07" w:rsidP="009C0A9D">
      <w:pPr>
        <w:ind w:firstLine="720"/>
        <w:jc w:val="both"/>
        <w:rPr>
          <w:rFonts w:cs="Times New Roman"/>
          <w:szCs w:val="24"/>
          <w:lang w:val="en-ZW"/>
        </w:rPr>
      </w:pPr>
      <w:r>
        <w:rPr>
          <w:rFonts w:cs="Times New Roman"/>
          <w:szCs w:val="24"/>
          <w:lang w:val="en-ZW"/>
        </w:rPr>
        <w:t xml:space="preserve">Mr </w:t>
      </w:r>
      <w:r w:rsidRPr="008A05B1">
        <w:rPr>
          <w:rFonts w:cs="Times New Roman"/>
          <w:i/>
          <w:szCs w:val="24"/>
          <w:lang w:val="en-ZW"/>
        </w:rPr>
        <w:t>Ndlovu</w:t>
      </w:r>
      <w:r>
        <w:rPr>
          <w:rFonts w:cs="Times New Roman"/>
          <w:szCs w:val="24"/>
          <w:lang w:val="en-ZW"/>
        </w:rPr>
        <w:t xml:space="preserve"> counsel for the 2</w:t>
      </w:r>
      <w:r w:rsidRPr="00E55C07">
        <w:rPr>
          <w:rFonts w:cs="Times New Roman"/>
          <w:szCs w:val="24"/>
          <w:vertAlign w:val="superscript"/>
          <w:lang w:val="en-ZW"/>
        </w:rPr>
        <w:t>nd</w:t>
      </w:r>
      <w:r>
        <w:rPr>
          <w:rFonts w:cs="Times New Roman"/>
          <w:szCs w:val="24"/>
          <w:lang w:val="en-ZW"/>
        </w:rPr>
        <w:t xml:space="preserve"> respondent argued that applicant’s address was </w:t>
      </w:r>
      <w:r w:rsidR="008A05B1">
        <w:rPr>
          <w:rFonts w:cs="Times New Roman"/>
          <w:szCs w:val="24"/>
          <w:lang w:val="en-ZW"/>
        </w:rPr>
        <w:t>hand written in</w:t>
      </w:r>
      <w:r w:rsidR="006A0250">
        <w:rPr>
          <w:rFonts w:cs="Times New Roman"/>
          <w:szCs w:val="24"/>
          <w:lang w:val="en-ZW"/>
        </w:rPr>
        <w:t xml:space="preserve"> the notice of opposition. It</w:t>
      </w:r>
      <w:r w:rsidR="00233112">
        <w:rPr>
          <w:rFonts w:cs="Times New Roman"/>
          <w:szCs w:val="24"/>
          <w:lang w:val="en-ZW"/>
        </w:rPr>
        <w:t xml:space="preserve"> </w:t>
      </w:r>
      <w:r w:rsidR="001F549B">
        <w:rPr>
          <w:rFonts w:cs="Times New Roman"/>
          <w:szCs w:val="24"/>
          <w:lang w:val="en-ZW"/>
        </w:rPr>
        <w:t xml:space="preserve">is </w:t>
      </w:r>
      <w:r w:rsidR="00233112">
        <w:rPr>
          <w:rFonts w:cs="Times New Roman"/>
          <w:szCs w:val="24"/>
          <w:lang w:val="en-ZW"/>
        </w:rPr>
        <w:t xml:space="preserve">contended that applicant was served with the notice of opposition twice, </w:t>
      </w:r>
      <w:r w:rsidR="003A50FE">
        <w:rPr>
          <w:rFonts w:cs="Times New Roman"/>
          <w:szCs w:val="24"/>
          <w:lang w:val="en-ZW"/>
        </w:rPr>
        <w:t xml:space="preserve">in the first instance </w:t>
      </w:r>
      <w:r w:rsidR="00822576">
        <w:rPr>
          <w:rFonts w:cs="Times New Roman"/>
          <w:szCs w:val="24"/>
          <w:lang w:val="en-ZW"/>
        </w:rPr>
        <w:t xml:space="preserve">i.e. on the 13 May 2021 </w:t>
      </w:r>
      <w:r w:rsidR="003A50FE">
        <w:rPr>
          <w:rFonts w:cs="Times New Roman"/>
          <w:szCs w:val="24"/>
          <w:lang w:val="en-ZW"/>
        </w:rPr>
        <w:t xml:space="preserve">a person at his residence refused to accept a copy and it was then put in the letter box, </w:t>
      </w:r>
      <w:r w:rsidR="00822576">
        <w:rPr>
          <w:rFonts w:cs="Times New Roman"/>
          <w:szCs w:val="24"/>
          <w:lang w:val="en-ZW"/>
        </w:rPr>
        <w:t xml:space="preserve">in the second instance i.e. on the 5 November 2021 he was served with a copy. </w:t>
      </w:r>
      <w:r w:rsidR="008C7D9B">
        <w:rPr>
          <w:rFonts w:cs="Times New Roman"/>
          <w:szCs w:val="24"/>
          <w:lang w:val="en-ZW"/>
        </w:rPr>
        <w:t xml:space="preserve">It </w:t>
      </w:r>
      <w:r w:rsidR="006A0250">
        <w:rPr>
          <w:rFonts w:cs="Times New Roman"/>
          <w:szCs w:val="24"/>
          <w:lang w:val="en-ZW"/>
        </w:rPr>
        <w:t xml:space="preserve">is </w:t>
      </w:r>
      <w:r w:rsidR="008C7D9B">
        <w:rPr>
          <w:rFonts w:cs="Times New Roman"/>
          <w:szCs w:val="24"/>
          <w:lang w:val="en-ZW"/>
        </w:rPr>
        <w:t xml:space="preserve">argued that he </w:t>
      </w:r>
      <w:r w:rsidR="0045309A">
        <w:rPr>
          <w:rFonts w:cs="Times New Roman"/>
          <w:szCs w:val="24"/>
          <w:lang w:val="en-ZW"/>
        </w:rPr>
        <w:t xml:space="preserve">suffered no prejudice </w:t>
      </w:r>
      <w:r w:rsidR="006D2533">
        <w:rPr>
          <w:rFonts w:cs="Times New Roman"/>
          <w:szCs w:val="24"/>
          <w:lang w:val="en-ZW"/>
        </w:rPr>
        <w:t xml:space="preserve">arising from the omission he is complaining about. </w:t>
      </w:r>
    </w:p>
    <w:p w:rsidR="00BB5E87" w:rsidRDefault="001A504F" w:rsidP="009C0A9D">
      <w:pPr>
        <w:ind w:firstLine="720"/>
        <w:jc w:val="both"/>
        <w:rPr>
          <w:rFonts w:cs="Times New Roman"/>
          <w:szCs w:val="24"/>
          <w:lang w:val="en-ZW"/>
        </w:rPr>
      </w:pPr>
      <w:r>
        <w:rPr>
          <w:rFonts w:cs="Times New Roman"/>
          <w:szCs w:val="24"/>
          <w:lang w:val="en-ZW"/>
        </w:rPr>
        <w:t xml:space="preserve">Applicant by his own version </w:t>
      </w:r>
      <w:r w:rsidR="0075473F">
        <w:rPr>
          <w:rFonts w:cs="Times New Roman"/>
          <w:szCs w:val="24"/>
          <w:lang w:val="en-ZW"/>
        </w:rPr>
        <w:t xml:space="preserve">first </w:t>
      </w:r>
      <w:r w:rsidR="00BB5E87">
        <w:rPr>
          <w:rFonts w:cs="Times New Roman"/>
          <w:szCs w:val="24"/>
          <w:lang w:val="en-ZW"/>
        </w:rPr>
        <w:t>found the first</w:t>
      </w:r>
      <w:r w:rsidR="00323CF4">
        <w:rPr>
          <w:rFonts w:cs="Times New Roman"/>
          <w:szCs w:val="24"/>
          <w:lang w:val="en-ZW"/>
        </w:rPr>
        <w:t xml:space="preserve"> copy of a notice of opposition in the letter box, and was again on the 5</w:t>
      </w:r>
      <w:r w:rsidR="00323CF4" w:rsidRPr="00323CF4">
        <w:rPr>
          <w:rFonts w:cs="Times New Roman"/>
          <w:szCs w:val="24"/>
          <w:vertAlign w:val="superscript"/>
          <w:lang w:val="en-ZW"/>
        </w:rPr>
        <w:t>th</w:t>
      </w:r>
      <w:r w:rsidR="00323CF4">
        <w:rPr>
          <w:rFonts w:cs="Times New Roman"/>
          <w:szCs w:val="24"/>
          <w:lang w:val="en-ZW"/>
        </w:rPr>
        <w:t xml:space="preserve"> November 2021</w:t>
      </w:r>
      <w:r w:rsidR="0011090E">
        <w:rPr>
          <w:rFonts w:cs="Times New Roman"/>
          <w:szCs w:val="24"/>
          <w:lang w:val="en-ZW"/>
        </w:rPr>
        <w:t xml:space="preserve"> </w:t>
      </w:r>
      <w:r w:rsidR="009D1B37">
        <w:rPr>
          <w:rFonts w:cs="Times New Roman"/>
          <w:szCs w:val="24"/>
          <w:lang w:val="en-ZW"/>
        </w:rPr>
        <w:t xml:space="preserve">served with a </w:t>
      </w:r>
      <w:r w:rsidR="002A0260">
        <w:rPr>
          <w:rFonts w:cs="Times New Roman"/>
          <w:szCs w:val="24"/>
          <w:lang w:val="en-ZW"/>
        </w:rPr>
        <w:t xml:space="preserve">second </w:t>
      </w:r>
      <w:r w:rsidR="0075473F">
        <w:rPr>
          <w:rFonts w:cs="Times New Roman"/>
          <w:szCs w:val="24"/>
          <w:lang w:val="en-ZW"/>
        </w:rPr>
        <w:t xml:space="preserve">copy </w:t>
      </w:r>
      <w:r w:rsidR="00BB5E87">
        <w:rPr>
          <w:rFonts w:cs="Times New Roman"/>
          <w:szCs w:val="24"/>
          <w:lang w:val="en-ZW"/>
        </w:rPr>
        <w:t>of the notice</w:t>
      </w:r>
      <w:r w:rsidR="002A0260">
        <w:rPr>
          <w:rFonts w:cs="Times New Roman"/>
          <w:szCs w:val="24"/>
          <w:lang w:val="en-ZW"/>
        </w:rPr>
        <w:t>.</w:t>
      </w:r>
      <w:r w:rsidR="00561132">
        <w:rPr>
          <w:rFonts w:cs="Times New Roman"/>
          <w:szCs w:val="24"/>
          <w:lang w:val="en-ZW"/>
        </w:rPr>
        <w:t xml:space="preserve"> </w:t>
      </w:r>
      <w:r w:rsidR="00561132">
        <w:rPr>
          <w:rFonts w:cs="Times New Roman"/>
          <w:szCs w:val="24"/>
          <w:lang w:val="en-ZW"/>
        </w:rPr>
        <w:lastRenderedPageBreak/>
        <w:t>Again, the copy of a notice of opposition in the court file</w:t>
      </w:r>
      <w:r w:rsidR="00BE6155">
        <w:rPr>
          <w:rFonts w:cs="Times New Roman"/>
          <w:szCs w:val="24"/>
          <w:lang w:val="en-ZW"/>
        </w:rPr>
        <w:t xml:space="preserve"> is copied to the applicant. However applicant’s name </w:t>
      </w:r>
      <w:r w:rsidR="00B8644D">
        <w:rPr>
          <w:rFonts w:cs="Times New Roman"/>
          <w:szCs w:val="24"/>
          <w:lang w:val="en-ZW"/>
        </w:rPr>
        <w:t xml:space="preserve">and address </w:t>
      </w:r>
      <w:r w:rsidR="00BE6155">
        <w:rPr>
          <w:rFonts w:cs="Times New Roman"/>
          <w:szCs w:val="24"/>
          <w:lang w:val="en-ZW"/>
        </w:rPr>
        <w:t xml:space="preserve">is </w:t>
      </w:r>
      <w:r w:rsidR="0011090E">
        <w:rPr>
          <w:rFonts w:cs="Times New Roman"/>
          <w:szCs w:val="24"/>
          <w:lang w:val="en-ZW"/>
        </w:rPr>
        <w:t>in long-</w:t>
      </w:r>
      <w:r w:rsidR="00B8644D">
        <w:rPr>
          <w:rFonts w:cs="Times New Roman"/>
          <w:szCs w:val="24"/>
          <w:lang w:val="en-ZW"/>
        </w:rPr>
        <w:t>hand.</w:t>
      </w:r>
      <w:r w:rsidR="00BB5E87">
        <w:rPr>
          <w:rFonts w:cs="Times New Roman"/>
          <w:szCs w:val="24"/>
          <w:lang w:val="en-ZW"/>
        </w:rPr>
        <w:t xml:space="preserve"> </w:t>
      </w:r>
      <w:r w:rsidR="0075473F">
        <w:rPr>
          <w:rFonts w:cs="Times New Roman"/>
          <w:szCs w:val="24"/>
          <w:lang w:val="en-ZW"/>
        </w:rPr>
        <w:t xml:space="preserve">The notice is clearly copied to the applicant. </w:t>
      </w:r>
      <w:r w:rsidR="00DF689F">
        <w:rPr>
          <w:rFonts w:cs="Times New Roman"/>
          <w:szCs w:val="24"/>
          <w:lang w:val="en-ZW"/>
        </w:rPr>
        <w:t xml:space="preserve">This is what the rules require. </w:t>
      </w:r>
      <w:r w:rsidR="00FF6E19">
        <w:rPr>
          <w:rFonts w:cs="Times New Roman"/>
          <w:szCs w:val="24"/>
          <w:lang w:val="en-ZW"/>
        </w:rPr>
        <w:t>The only infraction I observed was that applicant’s name and addre</w:t>
      </w:r>
      <w:r w:rsidR="0011090E">
        <w:rPr>
          <w:rFonts w:cs="Times New Roman"/>
          <w:szCs w:val="24"/>
          <w:lang w:val="en-ZW"/>
        </w:rPr>
        <w:t>ss are written in long-</w:t>
      </w:r>
      <w:r w:rsidR="00FF6E19">
        <w:rPr>
          <w:rFonts w:cs="Times New Roman"/>
          <w:szCs w:val="24"/>
          <w:lang w:val="en-ZW"/>
        </w:rPr>
        <w:t xml:space="preserve">hand. </w:t>
      </w:r>
      <w:r w:rsidR="006533DA">
        <w:rPr>
          <w:rFonts w:cs="Times New Roman"/>
          <w:szCs w:val="24"/>
          <w:lang w:val="en-ZW"/>
        </w:rPr>
        <w:t xml:space="preserve">I </w:t>
      </w:r>
      <w:r w:rsidR="00DF6217">
        <w:rPr>
          <w:rFonts w:cs="Times New Roman"/>
          <w:szCs w:val="24"/>
          <w:lang w:val="en-ZW"/>
        </w:rPr>
        <w:t>take the view that these are some of the infractions of the rule</w:t>
      </w:r>
      <w:r w:rsidR="00346867">
        <w:rPr>
          <w:rFonts w:cs="Times New Roman"/>
          <w:szCs w:val="24"/>
          <w:lang w:val="en-ZW"/>
        </w:rPr>
        <w:t>s</w:t>
      </w:r>
      <w:r w:rsidR="00DF6217">
        <w:rPr>
          <w:rFonts w:cs="Times New Roman"/>
          <w:szCs w:val="24"/>
          <w:lang w:val="en-ZW"/>
        </w:rPr>
        <w:t xml:space="preserve"> that this court may condone in terms of rule 4C</w:t>
      </w:r>
      <w:r w:rsidR="00DC357F">
        <w:rPr>
          <w:rFonts w:cs="Times New Roman"/>
          <w:szCs w:val="24"/>
          <w:lang w:val="en-ZW"/>
        </w:rPr>
        <w:t xml:space="preserve"> of the High Court Rules, 1971. Applicant has not su</w:t>
      </w:r>
      <w:r w:rsidR="006533DA">
        <w:rPr>
          <w:rFonts w:cs="Times New Roman"/>
          <w:szCs w:val="24"/>
          <w:lang w:val="en-ZW"/>
        </w:rPr>
        <w:t xml:space="preserve">ffered any prejudice at all by </w:t>
      </w:r>
      <w:r w:rsidR="00A20BF5">
        <w:rPr>
          <w:rFonts w:cs="Times New Roman"/>
          <w:szCs w:val="24"/>
          <w:lang w:val="en-ZW"/>
        </w:rPr>
        <w:t>the notice of opposition havi</w:t>
      </w:r>
      <w:r w:rsidR="0011090E">
        <w:rPr>
          <w:rFonts w:cs="Times New Roman"/>
          <w:szCs w:val="24"/>
          <w:lang w:val="en-ZW"/>
        </w:rPr>
        <w:t>ng his name and address hand-</w:t>
      </w:r>
      <w:r w:rsidR="00A20BF5">
        <w:rPr>
          <w:rFonts w:cs="Times New Roman"/>
          <w:szCs w:val="24"/>
          <w:lang w:val="en-ZW"/>
        </w:rPr>
        <w:t>written</w:t>
      </w:r>
      <w:r w:rsidR="00DC357F">
        <w:rPr>
          <w:rFonts w:cs="Times New Roman"/>
          <w:szCs w:val="24"/>
          <w:lang w:val="en-ZW"/>
        </w:rPr>
        <w:t xml:space="preserve">. </w:t>
      </w:r>
      <w:r w:rsidR="000A50B1">
        <w:rPr>
          <w:rFonts w:cs="Times New Roman"/>
          <w:szCs w:val="24"/>
          <w:lang w:val="en-ZW"/>
        </w:rPr>
        <w:t xml:space="preserve">The interests of justice require that such infractions be condoned. </w:t>
      </w:r>
      <w:r w:rsidR="00DC357F">
        <w:rPr>
          <w:rFonts w:cs="Times New Roman"/>
          <w:szCs w:val="24"/>
          <w:lang w:val="en-ZW"/>
        </w:rPr>
        <w:t xml:space="preserve"> </w:t>
      </w:r>
      <w:r w:rsidR="007D2129">
        <w:rPr>
          <w:rFonts w:cs="Times New Roman"/>
          <w:szCs w:val="24"/>
          <w:lang w:val="en-ZW"/>
        </w:rPr>
        <w:t>I take the view that this court</w:t>
      </w:r>
      <w:r w:rsidR="003D36C3">
        <w:rPr>
          <w:rFonts w:cs="Times New Roman"/>
          <w:szCs w:val="24"/>
          <w:lang w:val="en-ZW"/>
        </w:rPr>
        <w:t xml:space="preserve"> must be astute in considering these </w:t>
      </w:r>
      <w:r w:rsidR="007D2129">
        <w:rPr>
          <w:rFonts w:cs="Times New Roman"/>
          <w:szCs w:val="24"/>
          <w:lang w:val="en-ZW"/>
        </w:rPr>
        <w:t>preliminary points to avoid elevating</w:t>
      </w:r>
      <w:r w:rsidR="00096A85">
        <w:rPr>
          <w:rFonts w:cs="Times New Roman"/>
          <w:szCs w:val="24"/>
          <w:lang w:val="en-ZW"/>
        </w:rPr>
        <w:t xml:space="preserve"> form over substance</w:t>
      </w:r>
      <w:r w:rsidR="003D36C3">
        <w:rPr>
          <w:rFonts w:cs="Times New Roman"/>
          <w:szCs w:val="24"/>
          <w:lang w:val="en-ZW"/>
        </w:rPr>
        <w:t xml:space="preserve">. This preliminary point has no merit and is refused. </w:t>
      </w:r>
    </w:p>
    <w:p w:rsidR="00BF066B" w:rsidRDefault="00BF066B" w:rsidP="009C0A9D">
      <w:pPr>
        <w:ind w:firstLine="720"/>
        <w:jc w:val="both"/>
        <w:rPr>
          <w:rFonts w:cs="Times New Roman"/>
          <w:szCs w:val="24"/>
          <w:lang w:val="en-ZW"/>
        </w:rPr>
      </w:pPr>
      <w:r>
        <w:rPr>
          <w:rFonts w:cs="Times New Roman"/>
          <w:szCs w:val="24"/>
          <w:lang w:val="en-ZW"/>
        </w:rPr>
        <w:t xml:space="preserve">The second preliminary point taken by applicant is that </w:t>
      </w:r>
      <w:r w:rsidR="00717885">
        <w:rPr>
          <w:rFonts w:cs="Times New Roman"/>
          <w:szCs w:val="24"/>
          <w:lang w:val="en-ZW"/>
        </w:rPr>
        <w:t>the 2</w:t>
      </w:r>
      <w:r w:rsidR="00717885" w:rsidRPr="00717885">
        <w:rPr>
          <w:rFonts w:cs="Times New Roman"/>
          <w:szCs w:val="24"/>
          <w:vertAlign w:val="superscript"/>
          <w:lang w:val="en-ZW"/>
        </w:rPr>
        <w:t>nd</w:t>
      </w:r>
      <w:r w:rsidR="00717885">
        <w:rPr>
          <w:rFonts w:cs="Times New Roman"/>
          <w:szCs w:val="24"/>
          <w:lang w:val="en-ZW"/>
        </w:rPr>
        <w:t xml:space="preserve"> res</w:t>
      </w:r>
      <w:r w:rsidR="00DF689F">
        <w:rPr>
          <w:rFonts w:cs="Times New Roman"/>
          <w:szCs w:val="24"/>
          <w:lang w:val="en-ZW"/>
        </w:rPr>
        <w:t>pondent’s heads of argument was</w:t>
      </w:r>
      <w:r w:rsidR="00717885">
        <w:rPr>
          <w:rFonts w:cs="Times New Roman"/>
          <w:szCs w:val="24"/>
          <w:lang w:val="en-ZW"/>
        </w:rPr>
        <w:t xml:space="preserve"> not filed in terms of the rules of court. He relies on rule 59(20) of the High Court Rules, 2021, which says </w:t>
      </w:r>
      <w:r w:rsidR="00B943C6">
        <w:rPr>
          <w:rFonts w:cs="Times New Roman"/>
          <w:szCs w:val="24"/>
          <w:lang w:val="en-ZW"/>
        </w:rPr>
        <w:t xml:space="preserve">where an application has been set-down for hearing in terms of rule 65 and any respondent </w:t>
      </w:r>
      <w:r w:rsidR="0089477D">
        <w:rPr>
          <w:rFonts w:cs="Times New Roman"/>
          <w:szCs w:val="24"/>
          <w:lang w:val="en-ZW"/>
        </w:rPr>
        <w:t xml:space="preserve">is to be represented at the hearing by a legal practitioner the legal practitioner shall file with the registrar heads of argument. </w:t>
      </w:r>
      <w:r w:rsidR="000E473C">
        <w:rPr>
          <w:rFonts w:cs="Times New Roman"/>
          <w:szCs w:val="24"/>
          <w:lang w:val="en-ZW"/>
        </w:rPr>
        <w:t>Applicant’s interpretation of this rule is that a set-down date must pr</w:t>
      </w:r>
      <w:r w:rsidR="00100CB0">
        <w:rPr>
          <w:rFonts w:cs="Times New Roman"/>
          <w:szCs w:val="24"/>
          <w:lang w:val="en-ZW"/>
        </w:rPr>
        <w:t xml:space="preserve">ecede the filing of heads of </w:t>
      </w:r>
      <w:r w:rsidR="00455FD9">
        <w:rPr>
          <w:rFonts w:cs="Times New Roman"/>
          <w:szCs w:val="24"/>
          <w:lang w:val="en-ZW"/>
        </w:rPr>
        <w:t xml:space="preserve">argument, put differently that heads of argument cannot be filed before a matter has been provided </w:t>
      </w:r>
      <w:r w:rsidR="00C735BE">
        <w:rPr>
          <w:rFonts w:cs="Times New Roman"/>
          <w:szCs w:val="24"/>
          <w:lang w:val="en-ZW"/>
        </w:rPr>
        <w:t xml:space="preserve">with </w:t>
      </w:r>
      <w:r w:rsidR="00455FD9">
        <w:rPr>
          <w:rFonts w:cs="Times New Roman"/>
          <w:szCs w:val="24"/>
          <w:lang w:val="en-ZW"/>
        </w:rPr>
        <w:t xml:space="preserve">a set-down date. </w:t>
      </w:r>
    </w:p>
    <w:p w:rsidR="00455FD9" w:rsidRDefault="009D7929" w:rsidP="00D47140">
      <w:pPr>
        <w:ind w:firstLine="720"/>
        <w:jc w:val="both"/>
        <w:rPr>
          <w:rFonts w:cs="Times New Roman"/>
          <w:szCs w:val="24"/>
          <w:lang w:val="en-ZW"/>
        </w:rPr>
      </w:pPr>
      <w:r>
        <w:rPr>
          <w:rFonts w:cs="Times New Roman"/>
          <w:szCs w:val="24"/>
          <w:lang w:val="en-ZW"/>
        </w:rPr>
        <w:t>Applicant’</w:t>
      </w:r>
      <w:r w:rsidR="006119A8">
        <w:rPr>
          <w:rFonts w:cs="Times New Roman"/>
          <w:szCs w:val="24"/>
          <w:lang w:val="en-ZW"/>
        </w:rPr>
        <w:t>s complaint is that 2</w:t>
      </w:r>
      <w:r w:rsidR="006119A8" w:rsidRPr="006119A8">
        <w:rPr>
          <w:rFonts w:cs="Times New Roman"/>
          <w:szCs w:val="24"/>
          <w:vertAlign w:val="superscript"/>
          <w:lang w:val="en-ZW"/>
        </w:rPr>
        <w:t>nd</w:t>
      </w:r>
      <w:r w:rsidR="006119A8">
        <w:rPr>
          <w:rFonts w:cs="Times New Roman"/>
          <w:szCs w:val="24"/>
          <w:lang w:val="en-ZW"/>
        </w:rPr>
        <w:t xml:space="preserve"> respondent’s heads of argument were filed before this matter was provided </w:t>
      </w:r>
      <w:r w:rsidR="00C735BE">
        <w:rPr>
          <w:rFonts w:cs="Times New Roman"/>
          <w:szCs w:val="24"/>
          <w:lang w:val="en-ZW"/>
        </w:rPr>
        <w:t xml:space="preserve">with </w:t>
      </w:r>
      <w:r w:rsidR="006119A8">
        <w:rPr>
          <w:rFonts w:cs="Times New Roman"/>
          <w:szCs w:val="24"/>
          <w:lang w:val="en-ZW"/>
        </w:rPr>
        <w:t xml:space="preserve">a set-down date. </w:t>
      </w:r>
      <w:r w:rsidR="005C5270">
        <w:rPr>
          <w:rFonts w:cs="Times New Roman"/>
          <w:szCs w:val="24"/>
          <w:lang w:val="en-ZW"/>
        </w:rPr>
        <w:t xml:space="preserve">I take the view that this is a flimsy </w:t>
      </w:r>
      <w:r w:rsidR="00096A85">
        <w:rPr>
          <w:rFonts w:cs="Times New Roman"/>
          <w:szCs w:val="24"/>
          <w:lang w:val="en-ZW"/>
        </w:rPr>
        <w:t xml:space="preserve">and meritless </w:t>
      </w:r>
      <w:r w:rsidR="005C5270">
        <w:rPr>
          <w:rFonts w:cs="Times New Roman"/>
          <w:szCs w:val="24"/>
          <w:lang w:val="en-ZW"/>
        </w:rPr>
        <w:t xml:space="preserve">preliminary point. </w:t>
      </w:r>
      <w:r>
        <w:rPr>
          <w:rFonts w:cs="Times New Roman"/>
          <w:szCs w:val="24"/>
          <w:lang w:val="en-ZW"/>
        </w:rPr>
        <w:t xml:space="preserve">Rule </w:t>
      </w:r>
      <w:r w:rsidR="00D47140">
        <w:rPr>
          <w:rFonts w:cs="Times New Roman"/>
          <w:szCs w:val="24"/>
          <w:lang w:val="en-ZW"/>
        </w:rPr>
        <w:t xml:space="preserve">59(60) cannot be interpreted to mean that heads of argument cannot be filed before an application has been provided with a set-down date. </w:t>
      </w:r>
      <w:r w:rsidR="006832D1">
        <w:rPr>
          <w:rFonts w:cs="Times New Roman"/>
          <w:szCs w:val="24"/>
          <w:lang w:val="en-ZW"/>
        </w:rPr>
        <w:t xml:space="preserve">In fact rule 65(10) is clear that a matter </w:t>
      </w:r>
      <w:r w:rsidR="00D66412">
        <w:rPr>
          <w:rFonts w:cs="Times New Roman"/>
          <w:szCs w:val="24"/>
          <w:lang w:val="en-ZW"/>
        </w:rPr>
        <w:t xml:space="preserve">cannot be set-down if the papers are incomplete, </w:t>
      </w:r>
      <w:r w:rsidR="00F951CB">
        <w:rPr>
          <w:rFonts w:cs="Times New Roman"/>
          <w:szCs w:val="24"/>
          <w:lang w:val="en-ZW"/>
        </w:rPr>
        <w:t xml:space="preserve">and my view is that </w:t>
      </w:r>
      <w:r w:rsidR="00D66412">
        <w:rPr>
          <w:rFonts w:cs="Times New Roman"/>
          <w:szCs w:val="24"/>
          <w:lang w:val="en-ZW"/>
        </w:rPr>
        <w:t>if heads of argument have not been filed the papers wo</w:t>
      </w:r>
      <w:r w:rsidR="009E0AD7">
        <w:rPr>
          <w:rFonts w:cs="Times New Roman"/>
          <w:szCs w:val="24"/>
          <w:lang w:val="en-ZW"/>
        </w:rPr>
        <w:t>u</w:t>
      </w:r>
      <w:r w:rsidR="00D66412">
        <w:rPr>
          <w:rFonts w:cs="Times New Roman"/>
          <w:szCs w:val="24"/>
          <w:lang w:val="en-ZW"/>
        </w:rPr>
        <w:t xml:space="preserve">ld be incomplete and the </w:t>
      </w:r>
      <w:r w:rsidR="00F951CB">
        <w:rPr>
          <w:rFonts w:cs="Times New Roman"/>
          <w:szCs w:val="24"/>
          <w:lang w:val="en-ZW"/>
        </w:rPr>
        <w:t xml:space="preserve">matter would not be ripe to be provided with a set-down date. </w:t>
      </w:r>
      <w:r w:rsidR="00082139">
        <w:rPr>
          <w:rFonts w:cs="Times New Roman"/>
          <w:szCs w:val="24"/>
          <w:lang w:val="en-ZW"/>
        </w:rPr>
        <w:t>This</w:t>
      </w:r>
      <w:r w:rsidR="001B0891">
        <w:rPr>
          <w:rFonts w:cs="Times New Roman"/>
          <w:szCs w:val="24"/>
          <w:lang w:val="en-ZW"/>
        </w:rPr>
        <w:t xml:space="preserve"> preliminary point has no merit and is refused. </w:t>
      </w:r>
    </w:p>
    <w:p w:rsidR="0004029B" w:rsidRDefault="00DE59EE" w:rsidP="00DE59EE">
      <w:pPr>
        <w:jc w:val="both"/>
        <w:rPr>
          <w:rFonts w:cs="Times New Roman"/>
          <w:b/>
          <w:szCs w:val="24"/>
          <w:lang w:val="en-ZW"/>
        </w:rPr>
      </w:pPr>
      <w:r w:rsidRPr="00DE59EE">
        <w:rPr>
          <w:rFonts w:cs="Times New Roman"/>
          <w:b/>
          <w:szCs w:val="24"/>
          <w:lang w:val="en-ZW"/>
        </w:rPr>
        <w:t xml:space="preserve">Preliminary points taken by the respondent </w:t>
      </w:r>
    </w:p>
    <w:p w:rsidR="008A2F18" w:rsidRDefault="002E69B0" w:rsidP="008A2F18">
      <w:pPr>
        <w:autoSpaceDE w:val="0"/>
        <w:autoSpaceDN w:val="0"/>
        <w:adjustRightInd w:val="0"/>
        <w:spacing w:after="0"/>
        <w:ind w:firstLine="720"/>
        <w:jc w:val="both"/>
        <w:rPr>
          <w:rFonts w:cs="Times New Roman"/>
          <w:szCs w:val="24"/>
        </w:rPr>
      </w:pPr>
      <w:r>
        <w:rPr>
          <w:rFonts w:cs="Times New Roman"/>
          <w:szCs w:val="24"/>
        </w:rPr>
        <w:t>2</w:t>
      </w:r>
      <w:r w:rsidRPr="002E69B0">
        <w:rPr>
          <w:rFonts w:cs="Times New Roman"/>
          <w:szCs w:val="24"/>
          <w:vertAlign w:val="superscript"/>
        </w:rPr>
        <w:t>nd</w:t>
      </w:r>
      <w:r>
        <w:rPr>
          <w:rFonts w:cs="Times New Roman"/>
          <w:szCs w:val="24"/>
        </w:rPr>
        <w:t xml:space="preserve"> r</w:t>
      </w:r>
      <w:r w:rsidR="00F55607">
        <w:rPr>
          <w:rFonts w:cs="Times New Roman"/>
          <w:szCs w:val="24"/>
        </w:rPr>
        <w:t>espondent</w:t>
      </w:r>
      <w:r w:rsidR="008A2F18">
        <w:rPr>
          <w:rFonts w:cs="Times New Roman"/>
          <w:szCs w:val="24"/>
        </w:rPr>
        <w:t xml:space="preserve"> raised two preliminary points </w:t>
      </w:r>
      <w:r w:rsidR="00082139">
        <w:rPr>
          <w:rFonts w:cs="Times New Roman"/>
          <w:i/>
          <w:szCs w:val="24"/>
        </w:rPr>
        <w:t>viz</w:t>
      </w:r>
      <w:r w:rsidR="008A2F18">
        <w:rPr>
          <w:rFonts w:cs="Times New Roman"/>
          <w:szCs w:val="24"/>
        </w:rPr>
        <w:t xml:space="preserve"> </w:t>
      </w:r>
      <w:r w:rsidR="00D8362B">
        <w:rPr>
          <w:rFonts w:cs="Times New Roman"/>
          <w:szCs w:val="24"/>
        </w:rPr>
        <w:t xml:space="preserve">the </w:t>
      </w:r>
      <w:r w:rsidR="008A2F18">
        <w:rPr>
          <w:rFonts w:cs="Times New Roman"/>
          <w:szCs w:val="24"/>
        </w:rPr>
        <w:t>first</w:t>
      </w:r>
      <w:r w:rsidR="008A2F18" w:rsidRPr="002C719D">
        <w:rPr>
          <w:rFonts w:cs="Times New Roman"/>
          <w:szCs w:val="24"/>
        </w:rPr>
        <w:t xml:space="preserve"> </w:t>
      </w:r>
      <w:r w:rsidR="008A2F18">
        <w:rPr>
          <w:rFonts w:cs="Times New Roman"/>
          <w:szCs w:val="24"/>
        </w:rPr>
        <w:t xml:space="preserve">that </w:t>
      </w:r>
      <w:r w:rsidR="0071088D">
        <w:rPr>
          <w:rFonts w:cs="Times New Roman"/>
          <w:szCs w:val="24"/>
        </w:rPr>
        <w:t xml:space="preserve">this is an application for a review and is not in compliance with rule 259 of the High Court Rules, 1971. </w:t>
      </w:r>
      <w:r w:rsidR="00D8362B">
        <w:rPr>
          <w:rFonts w:cs="Times New Roman"/>
          <w:szCs w:val="24"/>
        </w:rPr>
        <w:t>The second is that applicant failed to follow the procedures provided for in section 52 (9</w:t>
      </w:r>
      <w:r w:rsidR="00335B26">
        <w:rPr>
          <w:rFonts w:cs="Times New Roman"/>
          <w:szCs w:val="24"/>
        </w:rPr>
        <w:t>) (</w:t>
      </w:r>
      <w:r w:rsidR="00D8362B">
        <w:rPr>
          <w:rFonts w:cs="Times New Roman"/>
          <w:szCs w:val="24"/>
        </w:rPr>
        <w:t xml:space="preserve">i) of the Administration of Estates Act [Chapter 6:01). </w:t>
      </w:r>
      <w:r w:rsidR="00335B26">
        <w:rPr>
          <w:rFonts w:cs="Times New Roman"/>
          <w:szCs w:val="24"/>
        </w:rPr>
        <w:t xml:space="preserve">It is contended that the preliminary points must be upheld and the application dismissed without a consideration of the merits. </w:t>
      </w:r>
    </w:p>
    <w:p w:rsidR="004F1F92" w:rsidRDefault="005470D8" w:rsidP="008A2F18">
      <w:pPr>
        <w:autoSpaceDE w:val="0"/>
        <w:autoSpaceDN w:val="0"/>
        <w:adjustRightInd w:val="0"/>
        <w:spacing w:after="0"/>
        <w:ind w:firstLine="720"/>
        <w:jc w:val="both"/>
        <w:rPr>
          <w:rFonts w:cs="Times New Roman"/>
          <w:szCs w:val="24"/>
        </w:rPr>
      </w:pPr>
      <w:r>
        <w:rPr>
          <w:rFonts w:cs="Times New Roman"/>
          <w:szCs w:val="24"/>
        </w:rPr>
        <w:lastRenderedPageBreak/>
        <w:t>In respect of the first preliminary point, that this is an application for review which falls foul of rule 259 of the rules</w:t>
      </w:r>
      <w:r w:rsidR="001C24A8">
        <w:rPr>
          <w:rFonts w:cs="Times New Roman"/>
          <w:szCs w:val="24"/>
        </w:rPr>
        <w:t xml:space="preserve">, it is contended that </w:t>
      </w:r>
      <w:r w:rsidR="001C4B73">
        <w:rPr>
          <w:rFonts w:cs="Times New Roman"/>
          <w:szCs w:val="24"/>
        </w:rPr>
        <w:t xml:space="preserve">applicant seeks a review of the Master’s decision to grant a section 120 authority. </w:t>
      </w:r>
      <w:r w:rsidR="00C774C8">
        <w:rPr>
          <w:rFonts w:cs="Times New Roman"/>
          <w:szCs w:val="24"/>
        </w:rPr>
        <w:t>It is argued that the grounds anchoring applicant’s com</w:t>
      </w:r>
      <w:r w:rsidR="00A33683">
        <w:rPr>
          <w:rFonts w:cs="Times New Roman"/>
          <w:szCs w:val="24"/>
        </w:rPr>
        <w:t>p</w:t>
      </w:r>
      <w:r w:rsidR="00AD4731">
        <w:rPr>
          <w:rFonts w:cs="Times New Roman"/>
          <w:szCs w:val="24"/>
        </w:rPr>
        <w:t xml:space="preserve">laints are grounds for review. It is contended that applicant is aggrieved </w:t>
      </w:r>
      <w:r w:rsidR="002C4C72">
        <w:rPr>
          <w:rFonts w:cs="Times New Roman"/>
          <w:szCs w:val="24"/>
        </w:rPr>
        <w:t>and in his view</w:t>
      </w:r>
      <w:r w:rsidR="00A33683">
        <w:rPr>
          <w:rFonts w:cs="Times New Roman"/>
          <w:szCs w:val="24"/>
        </w:rPr>
        <w:t xml:space="preserve"> the Master departed from the agreement </w:t>
      </w:r>
      <w:r w:rsidR="009F785B">
        <w:rPr>
          <w:rFonts w:cs="Times New Roman"/>
          <w:szCs w:val="24"/>
        </w:rPr>
        <w:t>that all beneficiaries should consent to the sale of the property, and that sh</w:t>
      </w:r>
      <w:r w:rsidR="00DE2DE7">
        <w:rPr>
          <w:rFonts w:cs="Times New Roman"/>
          <w:szCs w:val="24"/>
        </w:rPr>
        <w:t xml:space="preserve">e did not carry out a due diligence inquiry before issuing the </w:t>
      </w:r>
      <w:r w:rsidR="00125309">
        <w:rPr>
          <w:rFonts w:cs="Times New Roman"/>
          <w:szCs w:val="24"/>
        </w:rPr>
        <w:t xml:space="preserve">section </w:t>
      </w:r>
      <w:r w:rsidR="00DE2DE7">
        <w:rPr>
          <w:rFonts w:cs="Times New Roman"/>
          <w:szCs w:val="24"/>
        </w:rPr>
        <w:t xml:space="preserve">120 authority. It is argued that these are grounds for review.  </w:t>
      </w:r>
    </w:p>
    <w:p w:rsidR="005744B0" w:rsidRDefault="005744B0" w:rsidP="008A2F18">
      <w:pPr>
        <w:autoSpaceDE w:val="0"/>
        <w:autoSpaceDN w:val="0"/>
        <w:adjustRightInd w:val="0"/>
        <w:spacing w:after="0"/>
        <w:ind w:firstLine="720"/>
        <w:jc w:val="both"/>
        <w:rPr>
          <w:rFonts w:cs="Times New Roman"/>
          <w:szCs w:val="24"/>
        </w:rPr>
      </w:pPr>
      <w:r>
        <w:t>Indeed some of applicant’s complaints are akin to grounds for review. However on the overall facts of this case I find that this is not an application for review.  It is on this basis that I take the view that this preliminary point has no merit and must fail.</w:t>
      </w:r>
    </w:p>
    <w:p w:rsidR="00E364C2" w:rsidRDefault="00E364C2" w:rsidP="008A2F18">
      <w:pPr>
        <w:autoSpaceDE w:val="0"/>
        <w:autoSpaceDN w:val="0"/>
        <w:adjustRightInd w:val="0"/>
        <w:spacing w:after="0"/>
        <w:ind w:firstLine="720"/>
        <w:jc w:val="both"/>
        <w:rPr>
          <w:rFonts w:cs="Times New Roman"/>
          <w:szCs w:val="24"/>
        </w:rPr>
      </w:pPr>
      <w:r>
        <w:rPr>
          <w:rFonts w:cs="Times New Roman"/>
          <w:szCs w:val="24"/>
        </w:rPr>
        <w:t xml:space="preserve">Regarding the second preliminary point, it is contended that </w:t>
      </w:r>
      <w:r w:rsidR="00EE1E8A">
        <w:rPr>
          <w:rFonts w:cs="Times New Roman"/>
          <w:szCs w:val="24"/>
        </w:rPr>
        <w:t xml:space="preserve">this </w:t>
      </w:r>
      <w:r w:rsidR="00985E41">
        <w:rPr>
          <w:rFonts w:cs="Times New Roman"/>
          <w:szCs w:val="24"/>
        </w:rPr>
        <w:t>application was filed more than a year after the Master made a decis</w:t>
      </w:r>
      <w:r w:rsidR="009A228F">
        <w:rPr>
          <w:rFonts w:cs="Times New Roman"/>
          <w:szCs w:val="24"/>
        </w:rPr>
        <w:t>ion to grant a</w:t>
      </w:r>
      <w:r w:rsidR="00985E41">
        <w:rPr>
          <w:rFonts w:cs="Times New Roman"/>
          <w:szCs w:val="24"/>
        </w:rPr>
        <w:t xml:space="preserve"> section 120 authority. </w:t>
      </w:r>
      <w:r w:rsidR="007F5E4C">
        <w:rPr>
          <w:rFonts w:cs="Times New Roman"/>
          <w:szCs w:val="24"/>
        </w:rPr>
        <w:t xml:space="preserve">It is argued that applicant should have filed this application within thirty days </w:t>
      </w:r>
      <w:r w:rsidR="0094304C">
        <w:rPr>
          <w:rFonts w:cs="Times New Roman"/>
          <w:szCs w:val="24"/>
        </w:rPr>
        <w:t xml:space="preserve">of the Master’s decision as provided in section 52(9) (i) of the Act. </w:t>
      </w:r>
      <w:r w:rsidR="00220E03">
        <w:rPr>
          <w:rFonts w:cs="Times New Roman"/>
          <w:szCs w:val="24"/>
        </w:rPr>
        <w:t xml:space="preserve">It is contended that applicant </w:t>
      </w:r>
      <w:r w:rsidR="009A228F">
        <w:rPr>
          <w:rFonts w:cs="Times New Roman"/>
          <w:szCs w:val="24"/>
        </w:rPr>
        <w:t>should not be permitted to side-</w:t>
      </w:r>
      <w:r w:rsidR="00220E03">
        <w:rPr>
          <w:rFonts w:cs="Times New Roman"/>
          <w:szCs w:val="24"/>
        </w:rPr>
        <w:t xml:space="preserve">step the clear provisions of section 52(9) (i) of the Act. </w:t>
      </w:r>
      <w:r w:rsidR="009C6C2C">
        <w:rPr>
          <w:rFonts w:cs="Times New Roman"/>
          <w:szCs w:val="24"/>
        </w:rPr>
        <w:t xml:space="preserve">In </w:t>
      </w:r>
      <w:r w:rsidR="00AE680E">
        <w:rPr>
          <w:rFonts w:cs="Times New Roman"/>
          <w:szCs w:val="24"/>
        </w:rPr>
        <w:t>answer to this preliminary objection</w:t>
      </w:r>
      <w:r w:rsidR="009C6C2C">
        <w:rPr>
          <w:rFonts w:cs="Times New Roman"/>
          <w:szCs w:val="24"/>
        </w:rPr>
        <w:t xml:space="preserve"> applicant contended that there is no need to comply with section 52</w:t>
      </w:r>
      <w:r w:rsidR="00313640">
        <w:rPr>
          <w:rFonts w:cs="Times New Roman"/>
          <w:szCs w:val="24"/>
        </w:rPr>
        <w:t xml:space="preserve">(9) (i) of the Act. </w:t>
      </w:r>
    </w:p>
    <w:p w:rsidR="000607D9" w:rsidRPr="00F6496A" w:rsidRDefault="000607D9" w:rsidP="00F6496A">
      <w:pPr>
        <w:autoSpaceDE w:val="0"/>
        <w:autoSpaceDN w:val="0"/>
        <w:adjustRightInd w:val="0"/>
        <w:spacing w:before="0" w:beforeAutospacing="0" w:after="0" w:afterAutospacing="0" w:line="276" w:lineRule="auto"/>
        <w:ind w:firstLine="720"/>
        <w:jc w:val="both"/>
        <w:rPr>
          <w:rFonts w:cs="Times New Roman"/>
          <w:szCs w:val="24"/>
          <w:lang w:val="en-ZW"/>
        </w:rPr>
      </w:pPr>
      <w:r w:rsidRPr="00F6496A">
        <w:rPr>
          <w:rFonts w:cs="Times New Roman"/>
          <w:szCs w:val="24"/>
          <w:lang w:val="en-ZW"/>
        </w:rPr>
        <w:t xml:space="preserve">Section 52(9) (i) provides thus: </w:t>
      </w:r>
    </w:p>
    <w:p w:rsidR="000607D9" w:rsidRPr="00F6496A" w:rsidRDefault="000607D9" w:rsidP="00F6496A">
      <w:pPr>
        <w:autoSpaceDE w:val="0"/>
        <w:autoSpaceDN w:val="0"/>
        <w:adjustRightInd w:val="0"/>
        <w:spacing w:before="0" w:beforeAutospacing="0" w:after="0" w:afterAutospacing="0" w:line="276" w:lineRule="auto"/>
        <w:jc w:val="both"/>
        <w:rPr>
          <w:rFonts w:cs="Times New Roman"/>
          <w:szCs w:val="24"/>
          <w:lang w:val="en-ZW"/>
        </w:rPr>
      </w:pPr>
    </w:p>
    <w:p w:rsidR="000607D9" w:rsidRPr="00F6496A" w:rsidRDefault="000607D9" w:rsidP="00F6496A">
      <w:pPr>
        <w:autoSpaceDE w:val="0"/>
        <w:autoSpaceDN w:val="0"/>
        <w:adjustRightInd w:val="0"/>
        <w:spacing w:before="0" w:beforeAutospacing="0" w:after="0" w:afterAutospacing="0" w:line="276" w:lineRule="auto"/>
        <w:ind w:left="720"/>
        <w:jc w:val="both"/>
        <w:rPr>
          <w:rFonts w:cs="Times New Roman"/>
          <w:szCs w:val="24"/>
          <w:lang w:val="en-ZW"/>
        </w:rPr>
      </w:pPr>
      <w:r w:rsidRPr="00F6496A">
        <w:rPr>
          <w:rFonts w:cs="Times New Roman"/>
          <w:szCs w:val="24"/>
          <w:lang w:val="en-ZW"/>
        </w:rPr>
        <w:t>The Master shall consider such account, together with any objections that may have been duly lodged, and shall give such directions thereon as he may deem fit:</w:t>
      </w:r>
    </w:p>
    <w:p w:rsidR="000607D9" w:rsidRPr="00F6496A" w:rsidRDefault="000607D9" w:rsidP="00F6496A">
      <w:pPr>
        <w:autoSpaceDE w:val="0"/>
        <w:autoSpaceDN w:val="0"/>
        <w:adjustRightInd w:val="0"/>
        <w:spacing w:before="0" w:beforeAutospacing="0" w:after="0" w:afterAutospacing="0" w:line="276" w:lineRule="auto"/>
        <w:ind w:left="720"/>
        <w:jc w:val="both"/>
        <w:rPr>
          <w:rFonts w:cs="Times New Roman"/>
          <w:szCs w:val="24"/>
          <w:lang w:val="en-ZW"/>
        </w:rPr>
      </w:pPr>
    </w:p>
    <w:p w:rsidR="000607D9" w:rsidRPr="00F6496A" w:rsidRDefault="000607D9" w:rsidP="00F6496A">
      <w:pPr>
        <w:autoSpaceDE w:val="0"/>
        <w:autoSpaceDN w:val="0"/>
        <w:adjustRightInd w:val="0"/>
        <w:spacing w:before="0" w:beforeAutospacing="0" w:after="0" w:afterAutospacing="0" w:line="276" w:lineRule="auto"/>
        <w:ind w:firstLine="720"/>
        <w:jc w:val="both"/>
        <w:rPr>
          <w:rFonts w:cs="Times New Roman"/>
          <w:szCs w:val="24"/>
          <w:lang w:val="en-ZW"/>
        </w:rPr>
      </w:pPr>
      <w:r w:rsidRPr="00F6496A">
        <w:rPr>
          <w:rFonts w:cs="Times New Roman"/>
          <w:szCs w:val="24"/>
          <w:lang w:val="en-ZW"/>
        </w:rPr>
        <w:t>Provided that—</w:t>
      </w:r>
    </w:p>
    <w:p w:rsidR="000607D9" w:rsidRPr="00F6496A" w:rsidRDefault="000607D9" w:rsidP="00F6496A">
      <w:pPr>
        <w:autoSpaceDE w:val="0"/>
        <w:autoSpaceDN w:val="0"/>
        <w:adjustRightInd w:val="0"/>
        <w:spacing w:before="0" w:beforeAutospacing="0" w:after="0" w:afterAutospacing="0" w:line="276" w:lineRule="auto"/>
        <w:jc w:val="both"/>
        <w:rPr>
          <w:rFonts w:cs="Times New Roman"/>
          <w:szCs w:val="24"/>
          <w:lang w:val="en-ZW"/>
        </w:rPr>
      </w:pPr>
    </w:p>
    <w:p w:rsidR="000607D9" w:rsidRPr="00F6496A" w:rsidRDefault="000607D9" w:rsidP="00F6496A">
      <w:pPr>
        <w:autoSpaceDE w:val="0"/>
        <w:autoSpaceDN w:val="0"/>
        <w:adjustRightInd w:val="0"/>
        <w:spacing w:before="0" w:beforeAutospacing="0" w:after="0" w:afterAutospacing="0" w:line="276" w:lineRule="auto"/>
        <w:ind w:left="720"/>
        <w:jc w:val="both"/>
        <w:rPr>
          <w:rFonts w:cs="Times New Roman"/>
          <w:szCs w:val="24"/>
          <w:lang w:val="en-ZW"/>
        </w:rPr>
      </w:pPr>
      <w:r w:rsidRPr="00F6496A">
        <w:rPr>
          <w:rFonts w:cs="Times New Roman"/>
          <w:szCs w:val="24"/>
          <w:lang w:val="en-ZW"/>
        </w:rPr>
        <w:t>(i) any person aggrieved by any such direction of the Master may, within thirty days after the date of the</w:t>
      </w:r>
      <w:r w:rsidR="00F6496A" w:rsidRPr="00F6496A">
        <w:rPr>
          <w:rFonts w:cs="Times New Roman"/>
          <w:szCs w:val="24"/>
          <w:lang w:val="en-ZW"/>
        </w:rPr>
        <w:t xml:space="preserve"> </w:t>
      </w:r>
      <w:r w:rsidRPr="00F6496A">
        <w:rPr>
          <w:rFonts w:cs="Times New Roman"/>
          <w:szCs w:val="24"/>
          <w:lang w:val="en-ZW"/>
        </w:rPr>
        <w:t>Master’s direction, and after giving notice to the executor and to any pe</w:t>
      </w:r>
      <w:r w:rsidR="00F6496A" w:rsidRPr="00F6496A">
        <w:rPr>
          <w:rFonts w:cs="Times New Roman"/>
          <w:szCs w:val="24"/>
          <w:lang w:val="en-ZW"/>
        </w:rPr>
        <w:t xml:space="preserve">rson affected by the direction, </w:t>
      </w:r>
      <w:r w:rsidRPr="00F6496A">
        <w:rPr>
          <w:rFonts w:cs="Times New Roman"/>
          <w:szCs w:val="24"/>
          <w:lang w:val="en-ZW"/>
        </w:rPr>
        <w:t>apply by motion to the High Court for an order to set aside the direct</w:t>
      </w:r>
      <w:r w:rsidR="00F6496A" w:rsidRPr="00F6496A">
        <w:rPr>
          <w:rFonts w:cs="Times New Roman"/>
          <w:szCs w:val="24"/>
          <w:lang w:val="en-ZW"/>
        </w:rPr>
        <w:t xml:space="preserve">ion and the High Court may make </w:t>
      </w:r>
      <w:r w:rsidR="00F6496A">
        <w:rPr>
          <w:rFonts w:cs="Times New Roman"/>
          <w:szCs w:val="24"/>
          <w:lang w:val="en-ZW"/>
        </w:rPr>
        <w:t>such order as it may think fit.</w:t>
      </w:r>
    </w:p>
    <w:p w:rsidR="00B83C2C" w:rsidRDefault="00076C91" w:rsidP="0055269F">
      <w:pPr>
        <w:ind w:firstLine="720"/>
        <w:jc w:val="both"/>
        <w:rPr>
          <w:rFonts w:cs="Times New Roman"/>
          <w:color w:val="000000"/>
          <w:szCs w:val="24"/>
          <w:lang w:val="en-ZW"/>
        </w:rPr>
      </w:pPr>
      <w:r w:rsidRPr="000C286A">
        <w:rPr>
          <w:szCs w:val="24"/>
        </w:rPr>
        <w:t xml:space="preserve">I take the view that </w:t>
      </w:r>
      <w:r w:rsidR="00F732AD" w:rsidRPr="000C286A">
        <w:rPr>
          <w:szCs w:val="24"/>
        </w:rPr>
        <w:t>s</w:t>
      </w:r>
      <w:r w:rsidR="000607D9">
        <w:rPr>
          <w:szCs w:val="24"/>
        </w:rPr>
        <w:t>ection 52(9) (i</w:t>
      </w:r>
      <w:r w:rsidR="00C43C89" w:rsidRPr="000C286A">
        <w:rPr>
          <w:szCs w:val="24"/>
        </w:rPr>
        <w:t xml:space="preserve">) of the Administration of </w:t>
      </w:r>
      <w:r w:rsidRPr="000C286A">
        <w:rPr>
          <w:szCs w:val="24"/>
        </w:rPr>
        <w:t xml:space="preserve">Estates Act </w:t>
      </w:r>
      <w:r w:rsidR="00F732AD" w:rsidRPr="000C286A">
        <w:rPr>
          <w:szCs w:val="24"/>
        </w:rPr>
        <w:t xml:space="preserve">deals with a person aggrieved by the decision of the Master concerning a distribution account. </w:t>
      </w:r>
      <w:r w:rsidR="0055269F" w:rsidRPr="000C286A">
        <w:rPr>
          <w:szCs w:val="24"/>
        </w:rPr>
        <w:t>Such person</w:t>
      </w:r>
      <w:r w:rsidR="00C43C89" w:rsidRPr="000C286A">
        <w:rPr>
          <w:rFonts w:cs="Times New Roman"/>
          <w:color w:val="000000"/>
          <w:szCs w:val="24"/>
          <w:lang w:val="en-ZW"/>
        </w:rPr>
        <w:t xml:space="preserve"> may, within thirty days after th</w:t>
      </w:r>
      <w:r w:rsidR="0055269F" w:rsidRPr="000C286A">
        <w:rPr>
          <w:rFonts w:cs="Times New Roman"/>
          <w:color w:val="000000"/>
          <w:szCs w:val="24"/>
          <w:lang w:val="en-ZW"/>
        </w:rPr>
        <w:t>e date of the Master’s decision</w:t>
      </w:r>
      <w:r w:rsidR="00C43C89" w:rsidRPr="000C286A">
        <w:rPr>
          <w:rFonts w:cs="Times New Roman"/>
          <w:color w:val="000000"/>
          <w:szCs w:val="24"/>
          <w:lang w:val="en-ZW"/>
        </w:rPr>
        <w:t xml:space="preserve">, and after giving notice to the executor and to any person affected by the direction, apply by motion to the </w:t>
      </w:r>
      <w:r w:rsidR="00685AFF" w:rsidRPr="000C286A">
        <w:rPr>
          <w:rFonts w:cs="Times New Roman"/>
          <w:color w:val="000000"/>
          <w:szCs w:val="24"/>
          <w:lang w:val="en-ZW"/>
        </w:rPr>
        <w:t xml:space="preserve">High Court for an </w:t>
      </w:r>
      <w:r w:rsidR="0055269F" w:rsidRPr="000C286A">
        <w:rPr>
          <w:rFonts w:cs="Times New Roman"/>
          <w:color w:val="000000"/>
          <w:szCs w:val="24"/>
          <w:lang w:val="en-ZW"/>
        </w:rPr>
        <w:t>order to set aside the decision</w:t>
      </w:r>
      <w:r w:rsidR="009F3A42" w:rsidRPr="000C286A">
        <w:rPr>
          <w:rFonts w:cs="Times New Roman"/>
          <w:color w:val="000000"/>
          <w:szCs w:val="24"/>
          <w:lang w:val="en-ZW"/>
        </w:rPr>
        <w:t xml:space="preserve">. </w:t>
      </w:r>
    </w:p>
    <w:p w:rsidR="00685AFF" w:rsidRPr="000C286A" w:rsidRDefault="009F3A42" w:rsidP="0055269F">
      <w:pPr>
        <w:ind w:firstLine="720"/>
        <w:jc w:val="both"/>
        <w:rPr>
          <w:szCs w:val="24"/>
        </w:rPr>
      </w:pPr>
      <w:r w:rsidRPr="000C286A">
        <w:rPr>
          <w:rFonts w:cs="Times New Roman"/>
          <w:color w:val="000000"/>
          <w:szCs w:val="24"/>
          <w:lang w:val="en-ZW"/>
        </w:rPr>
        <w:lastRenderedPageBreak/>
        <w:t xml:space="preserve">In </w:t>
      </w:r>
      <w:r w:rsidRPr="000C286A">
        <w:rPr>
          <w:rFonts w:cs="Times New Roman"/>
          <w:i/>
          <w:color w:val="000000"/>
          <w:szCs w:val="24"/>
          <w:lang w:val="en-ZW"/>
        </w:rPr>
        <w:t xml:space="preserve">casu </w:t>
      </w:r>
      <w:r w:rsidRPr="000C286A">
        <w:rPr>
          <w:rFonts w:cs="Times New Roman"/>
          <w:color w:val="000000"/>
          <w:szCs w:val="24"/>
          <w:lang w:val="en-ZW"/>
        </w:rPr>
        <w:t>the Master did not make a decision in res</w:t>
      </w:r>
      <w:r w:rsidR="006929E2" w:rsidRPr="000C286A">
        <w:rPr>
          <w:rFonts w:cs="Times New Roman"/>
          <w:color w:val="000000"/>
          <w:szCs w:val="24"/>
          <w:lang w:val="en-ZW"/>
        </w:rPr>
        <w:t>pect of a distribution account, he issued a secti</w:t>
      </w:r>
      <w:r w:rsidR="00BD0BFC">
        <w:rPr>
          <w:rFonts w:cs="Times New Roman"/>
          <w:color w:val="000000"/>
          <w:szCs w:val="24"/>
          <w:lang w:val="en-ZW"/>
        </w:rPr>
        <w:t xml:space="preserve">on 120 authority which </w:t>
      </w:r>
      <w:r w:rsidR="000C286A" w:rsidRPr="000C286A">
        <w:rPr>
          <w:rFonts w:cs="Times New Roman"/>
          <w:color w:val="000000"/>
          <w:szCs w:val="24"/>
          <w:lang w:val="en-ZW"/>
        </w:rPr>
        <w:t xml:space="preserve">is issued before the filing of a final distribution account. </w:t>
      </w:r>
      <w:r w:rsidR="00E34B1B">
        <w:rPr>
          <w:rFonts w:cs="Times New Roman"/>
          <w:color w:val="000000"/>
          <w:szCs w:val="24"/>
          <w:lang w:val="en-ZW"/>
        </w:rPr>
        <w:t xml:space="preserve">My view is that the procedure set out in section 52(9) (i) of the Act is not applicable to a person aggrieved by the issuing of a section 120 authority. </w:t>
      </w:r>
      <w:r w:rsidR="00A13E55">
        <w:rPr>
          <w:rFonts w:cs="Times New Roman"/>
          <w:color w:val="000000"/>
          <w:szCs w:val="24"/>
          <w:lang w:val="en-ZW"/>
        </w:rPr>
        <w:t xml:space="preserve">The section applies to a person aggrieved by the decision of the Master concerning a distribution account. </w:t>
      </w:r>
      <w:r w:rsidR="00851180">
        <w:rPr>
          <w:rFonts w:cs="Times New Roman"/>
          <w:color w:val="000000"/>
          <w:szCs w:val="24"/>
          <w:lang w:val="en-ZW"/>
        </w:rPr>
        <w:t>Therefore this preliminary</w:t>
      </w:r>
      <w:r w:rsidR="00D30639">
        <w:rPr>
          <w:rFonts w:cs="Times New Roman"/>
          <w:color w:val="000000"/>
          <w:szCs w:val="24"/>
          <w:lang w:val="en-ZW"/>
        </w:rPr>
        <w:t xml:space="preserve"> </w:t>
      </w:r>
      <w:r w:rsidR="00851180">
        <w:rPr>
          <w:rFonts w:cs="Times New Roman"/>
          <w:color w:val="000000"/>
          <w:szCs w:val="24"/>
          <w:lang w:val="en-ZW"/>
        </w:rPr>
        <w:t>objection</w:t>
      </w:r>
      <w:r w:rsidR="00C617AA">
        <w:rPr>
          <w:rFonts w:cs="Times New Roman"/>
          <w:color w:val="000000"/>
          <w:szCs w:val="24"/>
          <w:lang w:val="en-ZW"/>
        </w:rPr>
        <w:t xml:space="preserve"> has no merit and is refused. </w:t>
      </w:r>
    </w:p>
    <w:p w:rsidR="00C43C89" w:rsidRDefault="006F3FDC" w:rsidP="006F3FDC">
      <w:pPr>
        <w:jc w:val="both"/>
        <w:rPr>
          <w:rFonts w:cs="Times New Roman"/>
          <w:b/>
          <w:color w:val="000000"/>
          <w:sz w:val="23"/>
          <w:szCs w:val="23"/>
          <w:lang w:val="en-ZW"/>
        </w:rPr>
      </w:pPr>
      <w:r w:rsidRPr="006F3FDC">
        <w:rPr>
          <w:rFonts w:cs="Times New Roman"/>
          <w:b/>
          <w:color w:val="000000"/>
          <w:sz w:val="23"/>
          <w:szCs w:val="23"/>
          <w:lang w:val="en-ZW"/>
        </w:rPr>
        <w:t xml:space="preserve">Merits </w:t>
      </w:r>
    </w:p>
    <w:p w:rsidR="009A16BC" w:rsidRDefault="009A16BC" w:rsidP="006F3FDC">
      <w:pPr>
        <w:jc w:val="both"/>
        <w:rPr>
          <w:rFonts w:cs="Times New Roman"/>
          <w:color w:val="000000"/>
          <w:szCs w:val="24"/>
          <w:lang w:val="en-ZW"/>
        </w:rPr>
      </w:pPr>
      <w:r>
        <w:rPr>
          <w:rFonts w:cs="Times New Roman"/>
          <w:b/>
          <w:color w:val="000000"/>
          <w:sz w:val="23"/>
          <w:szCs w:val="23"/>
          <w:lang w:val="en-ZW"/>
        </w:rPr>
        <w:tab/>
      </w:r>
      <w:r w:rsidR="00D30639">
        <w:rPr>
          <w:rFonts w:cs="Times New Roman"/>
          <w:color w:val="000000"/>
          <w:szCs w:val="24"/>
          <w:lang w:val="en-ZW"/>
        </w:rPr>
        <w:t>A</w:t>
      </w:r>
      <w:r w:rsidR="0041719F" w:rsidRPr="0041719F">
        <w:rPr>
          <w:rFonts w:cs="Times New Roman"/>
          <w:color w:val="000000"/>
          <w:szCs w:val="24"/>
          <w:lang w:val="en-ZW"/>
        </w:rPr>
        <w:t>pplicant seeks that the sale of the property to the 2</w:t>
      </w:r>
      <w:r w:rsidR="0041719F" w:rsidRPr="0041719F">
        <w:rPr>
          <w:rFonts w:cs="Times New Roman"/>
          <w:color w:val="000000"/>
          <w:szCs w:val="24"/>
          <w:vertAlign w:val="superscript"/>
          <w:lang w:val="en-ZW"/>
        </w:rPr>
        <w:t>nd</w:t>
      </w:r>
      <w:r w:rsidR="0041719F" w:rsidRPr="0041719F">
        <w:rPr>
          <w:rFonts w:cs="Times New Roman"/>
          <w:color w:val="000000"/>
          <w:szCs w:val="24"/>
          <w:lang w:val="en-ZW"/>
        </w:rPr>
        <w:t xml:space="preserve"> respondent to be set aside. </w:t>
      </w:r>
      <w:r w:rsidR="0041719F">
        <w:rPr>
          <w:rFonts w:cs="Times New Roman"/>
          <w:color w:val="000000"/>
          <w:szCs w:val="24"/>
          <w:lang w:val="en-ZW"/>
        </w:rPr>
        <w:t>The grounds upon which this order is sought is that</w:t>
      </w:r>
      <w:r w:rsidR="00433AFB" w:rsidRPr="00433AFB">
        <w:rPr>
          <w:rFonts w:cs="Times New Roman"/>
          <w:color w:val="000000"/>
          <w:szCs w:val="24"/>
          <w:lang w:val="en-ZW"/>
        </w:rPr>
        <w:t xml:space="preserve"> </w:t>
      </w:r>
      <w:r w:rsidR="00433AFB">
        <w:rPr>
          <w:rFonts w:cs="Times New Roman"/>
          <w:color w:val="000000"/>
          <w:szCs w:val="24"/>
          <w:lang w:val="en-ZW"/>
        </w:rPr>
        <w:t>the issuing of the section 120 authority was irregular and unlawful.</w:t>
      </w:r>
      <w:r w:rsidR="0053151C">
        <w:rPr>
          <w:rFonts w:cs="Times New Roman"/>
          <w:color w:val="000000"/>
          <w:szCs w:val="24"/>
          <w:lang w:val="en-ZW"/>
        </w:rPr>
        <w:t xml:space="preserve"> It is contended that </w:t>
      </w:r>
      <w:r w:rsidR="00551E2F">
        <w:rPr>
          <w:rFonts w:cs="Times New Roman"/>
          <w:color w:val="000000"/>
          <w:szCs w:val="24"/>
          <w:lang w:val="en-ZW"/>
        </w:rPr>
        <w:t xml:space="preserve">at </w:t>
      </w:r>
      <w:r w:rsidR="0053151C">
        <w:rPr>
          <w:rFonts w:cs="Times New Roman"/>
          <w:color w:val="000000"/>
          <w:szCs w:val="24"/>
          <w:lang w:val="en-ZW"/>
        </w:rPr>
        <w:t>a</w:t>
      </w:r>
      <w:r w:rsidR="0013018E">
        <w:rPr>
          <w:rFonts w:cs="Times New Roman"/>
          <w:color w:val="000000"/>
          <w:szCs w:val="24"/>
          <w:lang w:val="en-ZW"/>
        </w:rPr>
        <w:t xml:space="preserve"> meeting held on the 25</w:t>
      </w:r>
      <w:r w:rsidR="0013018E" w:rsidRPr="0013018E">
        <w:rPr>
          <w:rFonts w:cs="Times New Roman"/>
          <w:color w:val="000000"/>
          <w:szCs w:val="24"/>
          <w:vertAlign w:val="superscript"/>
          <w:lang w:val="en-ZW"/>
        </w:rPr>
        <w:t>th</w:t>
      </w:r>
      <w:r w:rsidR="0013018E">
        <w:rPr>
          <w:rFonts w:cs="Times New Roman"/>
          <w:color w:val="000000"/>
          <w:szCs w:val="24"/>
          <w:lang w:val="en-ZW"/>
        </w:rPr>
        <w:t xml:space="preserve"> June 2019 before the Master it was resolved that </w:t>
      </w:r>
      <w:r w:rsidR="00433AFB">
        <w:rPr>
          <w:rFonts w:cs="Times New Roman"/>
          <w:color w:val="000000"/>
          <w:szCs w:val="24"/>
          <w:lang w:val="en-ZW"/>
        </w:rPr>
        <w:t>“the house would be sold by consent of all beneficiaries.”</w:t>
      </w:r>
      <w:r w:rsidR="0053151C">
        <w:rPr>
          <w:rFonts w:cs="Times New Roman"/>
          <w:color w:val="000000"/>
          <w:szCs w:val="24"/>
          <w:lang w:val="en-ZW"/>
        </w:rPr>
        <w:t xml:space="preserve"> It is argued</w:t>
      </w:r>
      <w:r w:rsidR="009E46EA">
        <w:rPr>
          <w:rFonts w:cs="Times New Roman"/>
          <w:color w:val="000000"/>
          <w:szCs w:val="24"/>
          <w:lang w:val="en-ZW"/>
        </w:rPr>
        <w:t xml:space="preserve"> that the Master did not carry out a due inquiry prior to the issuing of the section 120 authority. </w:t>
      </w:r>
      <w:r w:rsidR="00C17769">
        <w:rPr>
          <w:rFonts w:cs="Times New Roman"/>
          <w:color w:val="000000"/>
          <w:szCs w:val="24"/>
          <w:lang w:val="en-ZW"/>
        </w:rPr>
        <w:t xml:space="preserve">It </w:t>
      </w:r>
      <w:r w:rsidR="0053151C">
        <w:rPr>
          <w:rFonts w:cs="Times New Roman"/>
          <w:color w:val="000000"/>
          <w:szCs w:val="24"/>
          <w:lang w:val="en-ZW"/>
        </w:rPr>
        <w:t>is said</w:t>
      </w:r>
      <w:r w:rsidR="00C17769">
        <w:rPr>
          <w:rFonts w:cs="Times New Roman"/>
          <w:color w:val="000000"/>
          <w:szCs w:val="24"/>
          <w:lang w:val="en-ZW"/>
        </w:rPr>
        <w:t xml:space="preserve"> had the Master conducted a due inquiry she would have established that not all beneficiaries had been contacted and consent</w:t>
      </w:r>
      <w:r w:rsidR="00882B53">
        <w:rPr>
          <w:rFonts w:cs="Times New Roman"/>
          <w:color w:val="000000"/>
          <w:szCs w:val="24"/>
          <w:lang w:val="en-ZW"/>
        </w:rPr>
        <w:t>ed to the sale of the property, and that the value of the property had not been established as of 20 March 2020 when the section 120 certificate was issue</w:t>
      </w:r>
      <w:r w:rsidR="00551E2F">
        <w:rPr>
          <w:rFonts w:cs="Times New Roman"/>
          <w:color w:val="000000"/>
          <w:szCs w:val="24"/>
          <w:lang w:val="en-ZW"/>
        </w:rPr>
        <w:t>d</w:t>
      </w:r>
      <w:r w:rsidR="00882B53">
        <w:rPr>
          <w:rFonts w:cs="Times New Roman"/>
          <w:color w:val="000000"/>
          <w:szCs w:val="24"/>
          <w:lang w:val="en-ZW"/>
        </w:rPr>
        <w:t xml:space="preserve">. </w:t>
      </w:r>
      <w:r w:rsidR="007C3022">
        <w:rPr>
          <w:rFonts w:cs="Times New Roman"/>
          <w:color w:val="000000"/>
          <w:szCs w:val="24"/>
          <w:lang w:val="en-ZW"/>
        </w:rPr>
        <w:t>Applica</w:t>
      </w:r>
      <w:r w:rsidR="004072BB">
        <w:rPr>
          <w:rFonts w:cs="Times New Roman"/>
          <w:color w:val="000000"/>
          <w:szCs w:val="24"/>
          <w:lang w:val="en-ZW"/>
        </w:rPr>
        <w:t>nt contends that</w:t>
      </w:r>
      <w:r w:rsidR="007C3022">
        <w:rPr>
          <w:rFonts w:cs="Times New Roman"/>
          <w:color w:val="000000"/>
          <w:szCs w:val="24"/>
          <w:lang w:val="en-ZW"/>
        </w:rPr>
        <w:t xml:space="preserve"> he and the children of the deceased siblings </w:t>
      </w:r>
      <w:r w:rsidR="00B01D9F">
        <w:rPr>
          <w:rFonts w:cs="Times New Roman"/>
          <w:color w:val="000000"/>
          <w:szCs w:val="24"/>
          <w:lang w:val="en-ZW"/>
        </w:rPr>
        <w:t xml:space="preserve">as beneficiaries were not consulted about the sale of the property and did not receive any shares from such sale. </w:t>
      </w:r>
      <w:r w:rsidR="007C3022">
        <w:rPr>
          <w:rFonts w:cs="Times New Roman"/>
          <w:color w:val="000000"/>
          <w:szCs w:val="24"/>
          <w:lang w:val="en-ZW"/>
        </w:rPr>
        <w:t xml:space="preserve"> </w:t>
      </w:r>
    </w:p>
    <w:p w:rsidR="00262B0D" w:rsidRDefault="00262B0D" w:rsidP="006F3FDC">
      <w:pPr>
        <w:jc w:val="both"/>
        <w:rPr>
          <w:rFonts w:cs="Times New Roman"/>
          <w:color w:val="000000"/>
          <w:szCs w:val="24"/>
          <w:lang w:val="en-ZW"/>
        </w:rPr>
      </w:pPr>
      <w:r>
        <w:rPr>
          <w:rFonts w:cs="Times New Roman"/>
          <w:color w:val="000000"/>
          <w:szCs w:val="24"/>
          <w:lang w:val="en-ZW"/>
        </w:rPr>
        <w:tab/>
        <w:t xml:space="preserve">Applicant argues that the resolution of the </w:t>
      </w:r>
      <w:r w:rsidR="00FC45FB">
        <w:rPr>
          <w:rFonts w:cs="Times New Roman"/>
          <w:color w:val="000000"/>
          <w:szCs w:val="24"/>
          <w:lang w:val="en-ZW"/>
        </w:rPr>
        <w:t>25</w:t>
      </w:r>
      <w:r w:rsidR="00FC45FB" w:rsidRPr="00FC45FB">
        <w:rPr>
          <w:rFonts w:cs="Times New Roman"/>
          <w:color w:val="000000"/>
          <w:szCs w:val="24"/>
          <w:vertAlign w:val="superscript"/>
          <w:lang w:val="en-ZW"/>
        </w:rPr>
        <w:t>th</w:t>
      </w:r>
      <w:r w:rsidR="00FC45FB">
        <w:rPr>
          <w:rFonts w:cs="Times New Roman"/>
          <w:color w:val="000000"/>
          <w:szCs w:val="24"/>
          <w:lang w:val="en-ZW"/>
        </w:rPr>
        <w:t xml:space="preserve"> June 2019 is binding on the Master and the Executor in terms of section 5(1) (a) of the Deceased </w:t>
      </w:r>
      <w:r w:rsidR="002742AE">
        <w:rPr>
          <w:rFonts w:cs="Times New Roman"/>
          <w:color w:val="000000"/>
          <w:szCs w:val="24"/>
          <w:lang w:val="en-ZW"/>
        </w:rPr>
        <w:t xml:space="preserve">Estates Succession Act [Chapter 6:02]. The section provides thus: </w:t>
      </w:r>
    </w:p>
    <w:p w:rsidR="001020A7" w:rsidRDefault="001020A7" w:rsidP="002323EC">
      <w:pPr>
        <w:autoSpaceDE w:val="0"/>
        <w:autoSpaceDN w:val="0"/>
        <w:adjustRightInd w:val="0"/>
        <w:spacing w:before="0" w:beforeAutospacing="0" w:after="0" w:afterAutospacing="0" w:line="276" w:lineRule="auto"/>
        <w:ind w:left="720"/>
        <w:jc w:val="both"/>
        <w:rPr>
          <w:rFonts w:cs="Times New Roman"/>
          <w:szCs w:val="24"/>
          <w:lang w:val="en-ZW"/>
        </w:rPr>
      </w:pPr>
      <w:r w:rsidRPr="002323EC">
        <w:rPr>
          <w:rFonts w:cs="Times New Roman"/>
          <w:szCs w:val="24"/>
          <w:lang w:val="en-ZW"/>
        </w:rPr>
        <w:t xml:space="preserve">Where as a result of a distribution in intestacy any property devolves upon any heirs in undivided shares the heirs may agree upon an alternative division of the property, and such agreement shall be binding on </w:t>
      </w:r>
      <w:r w:rsidR="002323EC">
        <w:rPr>
          <w:rFonts w:cs="Times New Roman"/>
          <w:szCs w:val="24"/>
          <w:lang w:val="en-ZW"/>
        </w:rPr>
        <w:t xml:space="preserve">the executor. </w:t>
      </w:r>
    </w:p>
    <w:p w:rsidR="00215F8D" w:rsidRDefault="00215F8D" w:rsidP="002323EC">
      <w:pPr>
        <w:autoSpaceDE w:val="0"/>
        <w:autoSpaceDN w:val="0"/>
        <w:adjustRightInd w:val="0"/>
        <w:spacing w:before="0" w:beforeAutospacing="0" w:after="0" w:afterAutospacing="0" w:line="276" w:lineRule="auto"/>
        <w:ind w:left="720"/>
        <w:jc w:val="both"/>
        <w:rPr>
          <w:rFonts w:cs="Times New Roman"/>
          <w:szCs w:val="24"/>
          <w:lang w:val="en-ZW"/>
        </w:rPr>
      </w:pPr>
    </w:p>
    <w:p w:rsidR="00445C3F" w:rsidRDefault="00DF0CF1" w:rsidP="0062604D">
      <w:pPr>
        <w:autoSpaceDE w:val="0"/>
        <w:autoSpaceDN w:val="0"/>
        <w:adjustRightInd w:val="0"/>
        <w:spacing w:before="0" w:beforeAutospacing="0" w:after="0" w:afterAutospacing="0"/>
        <w:ind w:firstLine="720"/>
        <w:jc w:val="both"/>
        <w:rPr>
          <w:rFonts w:cs="Times New Roman"/>
          <w:szCs w:val="24"/>
          <w:lang w:val="en-ZW"/>
        </w:rPr>
      </w:pPr>
      <w:r>
        <w:rPr>
          <w:rFonts w:cs="Times New Roman"/>
          <w:szCs w:val="24"/>
          <w:lang w:val="en-ZW"/>
        </w:rPr>
        <w:t xml:space="preserve">First applicant cannot </w:t>
      </w:r>
      <w:r w:rsidR="0062604D">
        <w:rPr>
          <w:rFonts w:cs="Times New Roman"/>
          <w:szCs w:val="24"/>
          <w:lang w:val="en-ZW"/>
        </w:rPr>
        <w:t>complain on</w:t>
      </w:r>
      <w:r w:rsidR="007842F9">
        <w:rPr>
          <w:rFonts w:cs="Times New Roman"/>
          <w:szCs w:val="24"/>
          <w:lang w:val="en-ZW"/>
        </w:rPr>
        <w:t xml:space="preserve"> behalf of</w:t>
      </w:r>
      <w:r w:rsidR="0062604D">
        <w:rPr>
          <w:rFonts w:cs="Times New Roman"/>
          <w:szCs w:val="24"/>
          <w:lang w:val="en-ZW"/>
        </w:rPr>
        <w:t xml:space="preserve"> the children of the deceased siblings, such</w:t>
      </w:r>
      <w:r w:rsidR="00167D2B">
        <w:rPr>
          <w:rFonts w:cs="Times New Roman"/>
          <w:szCs w:val="24"/>
          <w:lang w:val="en-ZW"/>
        </w:rPr>
        <w:t xml:space="preserve"> children are not before court, and there is no indication that he has authority </w:t>
      </w:r>
      <w:r w:rsidR="00663E44">
        <w:rPr>
          <w:rFonts w:cs="Times New Roman"/>
          <w:szCs w:val="24"/>
          <w:lang w:val="en-ZW"/>
        </w:rPr>
        <w:t xml:space="preserve">from such children to complain on their behalf. </w:t>
      </w:r>
      <w:r w:rsidR="00F4468F">
        <w:rPr>
          <w:rFonts w:cs="Times New Roman"/>
          <w:szCs w:val="24"/>
          <w:lang w:val="en-ZW"/>
        </w:rPr>
        <w:t xml:space="preserve">He can only anchor </w:t>
      </w:r>
      <w:r w:rsidR="0062604D">
        <w:rPr>
          <w:rFonts w:cs="Times New Roman"/>
          <w:szCs w:val="24"/>
          <w:lang w:val="en-ZW"/>
        </w:rPr>
        <w:t>his a</w:t>
      </w:r>
      <w:r w:rsidR="00AF6714">
        <w:rPr>
          <w:rFonts w:cs="Times New Roman"/>
          <w:szCs w:val="24"/>
          <w:lang w:val="en-ZW"/>
        </w:rPr>
        <w:t>pplication on the basis</w:t>
      </w:r>
      <w:r w:rsidR="0062604D">
        <w:rPr>
          <w:rFonts w:cs="Times New Roman"/>
          <w:szCs w:val="24"/>
          <w:lang w:val="en-ZW"/>
        </w:rPr>
        <w:t xml:space="preserve"> </w:t>
      </w:r>
      <w:r w:rsidR="00663E44">
        <w:rPr>
          <w:rFonts w:cs="Times New Roman"/>
          <w:szCs w:val="24"/>
          <w:lang w:val="en-ZW"/>
        </w:rPr>
        <w:t xml:space="preserve">of </w:t>
      </w:r>
      <w:r w:rsidR="0062604D">
        <w:rPr>
          <w:rFonts w:cs="Times New Roman"/>
          <w:szCs w:val="24"/>
          <w:lang w:val="en-ZW"/>
        </w:rPr>
        <w:t xml:space="preserve">his allegation that </w:t>
      </w:r>
      <w:r w:rsidR="003F3E10">
        <w:rPr>
          <w:rFonts w:cs="Times New Roman"/>
          <w:szCs w:val="24"/>
          <w:lang w:val="en-ZW"/>
        </w:rPr>
        <w:t>he was not consulted and did</w:t>
      </w:r>
      <w:r w:rsidR="00AF6714">
        <w:rPr>
          <w:rFonts w:cs="Times New Roman"/>
          <w:szCs w:val="24"/>
          <w:lang w:val="en-ZW"/>
        </w:rPr>
        <w:t xml:space="preserve"> not consent to the sale of the property.</w:t>
      </w:r>
    </w:p>
    <w:p w:rsidR="00445C3F" w:rsidRDefault="00445C3F" w:rsidP="0062604D">
      <w:pPr>
        <w:autoSpaceDE w:val="0"/>
        <w:autoSpaceDN w:val="0"/>
        <w:adjustRightInd w:val="0"/>
        <w:spacing w:before="0" w:beforeAutospacing="0" w:after="0" w:afterAutospacing="0"/>
        <w:ind w:firstLine="720"/>
        <w:jc w:val="both"/>
        <w:rPr>
          <w:rFonts w:cs="Times New Roman"/>
          <w:szCs w:val="24"/>
          <w:lang w:val="en-ZW"/>
        </w:rPr>
      </w:pPr>
    </w:p>
    <w:p w:rsidR="00215F8D" w:rsidRDefault="00AF6714" w:rsidP="00445C3F">
      <w:pPr>
        <w:autoSpaceDE w:val="0"/>
        <w:autoSpaceDN w:val="0"/>
        <w:adjustRightInd w:val="0"/>
        <w:spacing w:before="0" w:beforeAutospacing="0" w:after="0" w:afterAutospacing="0"/>
        <w:ind w:firstLine="720"/>
        <w:jc w:val="both"/>
        <w:rPr>
          <w:rFonts w:cs="Times New Roman"/>
          <w:szCs w:val="24"/>
          <w:lang w:val="en-ZW"/>
        </w:rPr>
      </w:pPr>
      <w:r>
        <w:rPr>
          <w:rFonts w:cs="Times New Roman"/>
          <w:szCs w:val="24"/>
          <w:lang w:val="en-ZW"/>
        </w:rPr>
        <w:lastRenderedPageBreak/>
        <w:t xml:space="preserve"> </w:t>
      </w:r>
      <w:r w:rsidR="00446526" w:rsidRPr="00445C3F">
        <w:rPr>
          <w:rFonts w:cs="Times New Roman"/>
          <w:szCs w:val="24"/>
          <w:lang w:val="en-ZW"/>
        </w:rPr>
        <w:t>Applicant’s contention that he did not consent to sale of the property cannot withstand scrutiny</w:t>
      </w:r>
      <w:r w:rsidR="00446526">
        <w:rPr>
          <w:rFonts w:cs="Times New Roman"/>
          <w:szCs w:val="24"/>
          <w:lang w:val="en-ZW"/>
        </w:rPr>
        <w:t xml:space="preserve">. </w:t>
      </w:r>
      <w:r w:rsidR="001D1980">
        <w:rPr>
          <w:rFonts w:cs="Times New Roman"/>
          <w:szCs w:val="24"/>
          <w:lang w:val="en-ZW"/>
        </w:rPr>
        <w:t>Applicant attended a</w:t>
      </w:r>
      <w:r w:rsidR="00D5496E">
        <w:rPr>
          <w:rFonts w:cs="Times New Roman"/>
          <w:szCs w:val="24"/>
          <w:lang w:val="en-ZW"/>
        </w:rPr>
        <w:t xml:space="preserve"> meeting held on the 25</w:t>
      </w:r>
      <w:r w:rsidR="00D5496E" w:rsidRPr="00D5496E">
        <w:rPr>
          <w:rFonts w:cs="Times New Roman"/>
          <w:szCs w:val="24"/>
          <w:vertAlign w:val="superscript"/>
          <w:lang w:val="en-ZW"/>
        </w:rPr>
        <w:t>th</w:t>
      </w:r>
      <w:r w:rsidR="00D5496E">
        <w:rPr>
          <w:rFonts w:cs="Times New Roman"/>
          <w:szCs w:val="24"/>
          <w:lang w:val="en-ZW"/>
        </w:rPr>
        <w:t xml:space="preserve"> June 201</w:t>
      </w:r>
      <w:r w:rsidR="004E262A">
        <w:rPr>
          <w:rFonts w:cs="Times New Roman"/>
          <w:szCs w:val="24"/>
          <w:lang w:val="en-ZW"/>
        </w:rPr>
        <w:t>9.</w:t>
      </w:r>
      <w:r w:rsidR="004E262A">
        <w:rPr>
          <w:rStyle w:val="FootnoteReference"/>
          <w:rFonts w:cs="Times New Roman"/>
          <w:szCs w:val="24"/>
          <w:lang w:val="en-ZW"/>
        </w:rPr>
        <w:footnoteReference w:id="2"/>
      </w:r>
      <w:r w:rsidR="0000621B">
        <w:rPr>
          <w:rFonts w:cs="Times New Roman"/>
          <w:szCs w:val="24"/>
          <w:lang w:val="en-ZW"/>
        </w:rPr>
        <w:t xml:space="preserve"> At the meeting he unequivocally agreed that the house be sold. </w:t>
      </w:r>
      <w:r w:rsidR="000E6E2A">
        <w:rPr>
          <w:rFonts w:cs="Times New Roman"/>
          <w:szCs w:val="24"/>
          <w:lang w:val="en-ZW"/>
        </w:rPr>
        <w:t>Applicant cannot be permitted to play double standards, that</w:t>
      </w:r>
      <w:r w:rsidR="003A454A">
        <w:rPr>
          <w:rFonts w:cs="Times New Roman"/>
          <w:szCs w:val="24"/>
          <w:lang w:val="en-ZW"/>
        </w:rPr>
        <w:t xml:space="preserve"> when it suits him</w:t>
      </w:r>
      <w:r w:rsidR="000E6E2A">
        <w:rPr>
          <w:rFonts w:cs="Times New Roman"/>
          <w:szCs w:val="24"/>
          <w:lang w:val="en-ZW"/>
        </w:rPr>
        <w:t xml:space="preserve"> he agrees to the sale of the property</w:t>
      </w:r>
      <w:r w:rsidR="007637CA">
        <w:rPr>
          <w:rFonts w:cs="Times New Roman"/>
          <w:szCs w:val="24"/>
          <w:lang w:val="en-ZW"/>
        </w:rPr>
        <w:t>, and when it does not</w:t>
      </w:r>
      <w:r w:rsidR="003A454A">
        <w:rPr>
          <w:rFonts w:cs="Times New Roman"/>
          <w:szCs w:val="24"/>
          <w:lang w:val="en-ZW"/>
        </w:rPr>
        <w:t xml:space="preserve"> </w:t>
      </w:r>
      <w:r w:rsidR="00E327EC">
        <w:rPr>
          <w:rFonts w:cs="Times New Roman"/>
          <w:szCs w:val="24"/>
          <w:lang w:val="en-ZW"/>
        </w:rPr>
        <w:t xml:space="preserve">suit </w:t>
      </w:r>
      <w:r w:rsidR="003A454A">
        <w:rPr>
          <w:rFonts w:cs="Times New Roman"/>
          <w:szCs w:val="24"/>
          <w:lang w:val="en-ZW"/>
        </w:rPr>
        <w:t>to make a turn and allege</w:t>
      </w:r>
      <w:r w:rsidR="00077ABC">
        <w:rPr>
          <w:rFonts w:cs="Times New Roman"/>
          <w:szCs w:val="24"/>
          <w:lang w:val="en-ZW"/>
        </w:rPr>
        <w:t xml:space="preserve"> that he did not consent to such sale</w:t>
      </w:r>
      <w:r w:rsidR="003A454A">
        <w:rPr>
          <w:rFonts w:cs="Times New Roman"/>
          <w:szCs w:val="24"/>
          <w:lang w:val="en-ZW"/>
        </w:rPr>
        <w:t xml:space="preserve">. </w:t>
      </w:r>
      <w:r w:rsidR="001943E2">
        <w:rPr>
          <w:rFonts w:cs="Times New Roman"/>
          <w:szCs w:val="24"/>
          <w:lang w:val="en-ZW"/>
        </w:rPr>
        <w:t xml:space="preserve">This is impermissible. </w:t>
      </w:r>
    </w:p>
    <w:p w:rsidR="002323EC" w:rsidRDefault="002323EC" w:rsidP="0062604D">
      <w:pPr>
        <w:autoSpaceDE w:val="0"/>
        <w:autoSpaceDN w:val="0"/>
        <w:adjustRightInd w:val="0"/>
        <w:spacing w:before="0" w:beforeAutospacing="0" w:after="0" w:afterAutospacing="0"/>
        <w:jc w:val="both"/>
        <w:rPr>
          <w:rFonts w:cs="Times New Roman"/>
          <w:szCs w:val="24"/>
          <w:lang w:val="en-ZW"/>
        </w:rPr>
      </w:pPr>
    </w:p>
    <w:p w:rsidR="002323EC" w:rsidRDefault="001943E2" w:rsidP="00952ED6">
      <w:pPr>
        <w:autoSpaceDE w:val="0"/>
        <w:autoSpaceDN w:val="0"/>
        <w:adjustRightInd w:val="0"/>
        <w:spacing w:before="0" w:beforeAutospacing="0" w:after="0" w:afterAutospacing="0"/>
        <w:jc w:val="both"/>
        <w:rPr>
          <w:rFonts w:cs="Times New Roman"/>
          <w:szCs w:val="24"/>
          <w:lang w:val="en-ZW"/>
        </w:rPr>
      </w:pPr>
      <w:r>
        <w:rPr>
          <w:rFonts w:cs="Times New Roman"/>
          <w:szCs w:val="24"/>
          <w:lang w:val="en-ZW"/>
        </w:rPr>
        <w:tab/>
        <w:t xml:space="preserve">My understanding of the </w:t>
      </w:r>
      <w:r w:rsidR="008B5B33">
        <w:rPr>
          <w:rFonts w:cs="Times New Roman"/>
          <w:szCs w:val="24"/>
          <w:lang w:val="en-ZW"/>
        </w:rPr>
        <w:t>resolution</w:t>
      </w:r>
      <w:r w:rsidR="008C05D7">
        <w:rPr>
          <w:rFonts w:cs="Times New Roman"/>
          <w:szCs w:val="24"/>
          <w:lang w:val="en-ZW"/>
        </w:rPr>
        <w:t xml:space="preserve"> that “the house would be sold by consent of all the beneficiaries”</w:t>
      </w:r>
      <w:r w:rsidR="009479FB">
        <w:rPr>
          <w:rFonts w:cs="Times New Roman"/>
          <w:szCs w:val="24"/>
          <w:lang w:val="en-ZW"/>
        </w:rPr>
        <w:t xml:space="preserve"> applied</w:t>
      </w:r>
      <w:r w:rsidR="008C05D7">
        <w:rPr>
          <w:rFonts w:cs="Times New Roman"/>
          <w:szCs w:val="24"/>
          <w:lang w:val="en-ZW"/>
        </w:rPr>
        <w:t xml:space="preserve"> to those beneficiaries who did not attend the meeting</w:t>
      </w:r>
      <w:r w:rsidR="00077ABC">
        <w:rPr>
          <w:rFonts w:cs="Times New Roman"/>
          <w:szCs w:val="24"/>
          <w:lang w:val="en-ZW"/>
        </w:rPr>
        <w:t xml:space="preserve"> and consent thereat</w:t>
      </w:r>
      <w:r w:rsidR="008C05D7">
        <w:rPr>
          <w:rFonts w:cs="Times New Roman"/>
          <w:szCs w:val="24"/>
          <w:lang w:val="en-ZW"/>
        </w:rPr>
        <w:t xml:space="preserve">. </w:t>
      </w:r>
      <w:r w:rsidR="00077ABC">
        <w:rPr>
          <w:rFonts w:cs="Times New Roman"/>
          <w:szCs w:val="24"/>
          <w:lang w:val="en-ZW"/>
        </w:rPr>
        <w:t xml:space="preserve">It did not apply to the applicant. </w:t>
      </w:r>
      <w:r w:rsidR="00952ED6">
        <w:rPr>
          <w:rFonts w:cs="Times New Roman"/>
          <w:szCs w:val="24"/>
          <w:lang w:val="en-ZW"/>
        </w:rPr>
        <w:t xml:space="preserve">Again the beneficiaries who did not attend the meeting </w:t>
      </w:r>
      <w:r w:rsidR="008B5B33">
        <w:rPr>
          <w:rFonts w:cs="Times New Roman"/>
          <w:szCs w:val="24"/>
          <w:lang w:val="en-ZW"/>
        </w:rPr>
        <w:t xml:space="preserve">deposed to affidavits consenting to the sale of the property. </w:t>
      </w:r>
      <w:r w:rsidR="009479FB">
        <w:rPr>
          <w:rFonts w:cs="Times New Roman"/>
          <w:szCs w:val="24"/>
          <w:lang w:val="en-ZW"/>
        </w:rPr>
        <w:t xml:space="preserve">Copies of such affidavits are before court. </w:t>
      </w:r>
    </w:p>
    <w:p w:rsidR="00AF67F0" w:rsidRDefault="00AF67F0" w:rsidP="00952ED6">
      <w:pPr>
        <w:autoSpaceDE w:val="0"/>
        <w:autoSpaceDN w:val="0"/>
        <w:adjustRightInd w:val="0"/>
        <w:spacing w:before="0" w:beforeAutospacing="0" w:after="0" w:afterAutospacing="0"/>
        <w:jc w:val="both"/>
        <w:rPr>
          <w:rFonts w:cs="Times New Roman"/>
          <w:szCs w:val="24"/>
          <w:lang w:val="en-ZW"/>
        </w:rPr>
      </w:pPr>
    </w:p>
    <w:p w:rsidR="00B11A7B" w:rsidRPr="007E3369" w:rsidRDefault="00AF67F0" w:rsidP="007E3369">
      <w:pPr>
        <w:autoSpaceDE w:val="0"/>
        <w:autoSpaceDN w:val="0"/>
        <w:adjustRightInd w:val="0"/>
        <w:spacing w:before="0" w:beforeAutospacing="0" w:after="0" w:afterAutospacing="0"/>
        <w:jc w:val="both"/>
        <w:rPr>
          <w:rFonts w:cs="Times New Roman"/>
          <w:color w:val="000000"/>
          <w:szCs w:val="24"/>
          <w:lang w:val="en-ZW"/>
        </w:rPr>
      </w:pPr>
      <w:r>
        <w:rPr>
          <w:rFonts w:cs="Times New Roman"/>
          <w:szCs w:val="24"/>
          <w:lang w:val="en-ZW"/>
        </w:rPr>
        <w:tab/>
      </w:r>
      <w:r w:rsidRPr="006526E9">
        <w:rPr>
          <w:rFonts w:cs="Times New Roman"/>
          <w:szCs w:val="24"/>
          <w:lang w:val="en-ZW"/>
        </w:rPr>
        <w:t>Applicant complains</w:t>
      </w:r>
      <w:r w:rsidRPr="006526E9">
        <w:rPr>
          <w:rFonts w:cs="Times New Roman"/>
          <w:color w:val="000000"/>
          <w:szCs w:val="24"/>
          <w:lang w:val="en-ZW"/>
        </w:rPr>
        <w:t xml:space="preserve"> that the value of the property had not been established as of 20 March 2020 when the section 120 certificate was issue</w:t>
      </w:r>
      <w:r w:rsidR="00F607D5">
        <w:rPr>
          <w:rFonts w:cs="Times New Roman"/>
          <w:color w:val="000000"/>
          <w:szCs w:val="24"/>
          <w:lang w:val="en-ZW"/>
        </w:rPr>
        <w:t>d</w:t>
      </w:r>
      <w:r w:rsidRPr="006526E9">
        <w:rPr>
          <w:rFonts w:cs="Times New Roman"/>
          <w:color w:val="000000"/>
          <w:szCs w:val="24"/>
          <w:lang w:val="en-ZW"/>
        </w:rPr>
        <w:t>.</w:t>
      </w:r>
      <w:r w:rsidR="00EA4B55" w:rsidRPr="006526E9">
        <w:rPr>
          <w:rFonts w:cs="Times New Roman"/>
          <w:color w:val="000000"/>
          <w:szCs w:val="24"/>
          <w:lang w:val="en-ZW"/>
        </w:rPr>
        <w:t xml:space="preserve"> </w:t>
      </w:r>
      <w:r w:rsidR="00AF2E7D" w:rsidRPr="006526E9">
        <w:rPr>
          <w:rFonts w:cs="Times New Roman"/>
          <w:color w:val="000000"/>
          <w:szCs w:val="24"/>
          <w:lang w:val="en-ZW"/>
        </w:rPr>
        <w:t>This gr</w:t>
      </w:r>
      <w:r w:rsidR="00305BF7" w:rsidRPr="006526E9">
        <w:rPr>
          <w:rFonts w:cs="Times New Roman"/>
          <w:color w:val="000000"/>
          <w:szCs w:val="24"/>
          <w:lang w:val="en-ZW"/>
        </w:rPr>
        <w:t xml:space="preserve">ound of complaint is convoluted </w:t>
      </w:r>
      <w:r w:rsidR="00AA7DDA" w:rsidRPr="006526E9">
        <w:rPr>
          <w:rFonts w:cs="Times New Roman"/>
          <w:color w:val="000000"/>
          <w:szCs w:val="24"/>
          <w:lang w:val="en-ZW"/>
        </w:rPr>
        <w:t xml:space="preserve">and incomprehensible. The simple point though is that the </w:t>
      </w:r>
      <w:r w:rsidR="001B3937" w:rsidRPr="006526E9">
        <w:rPr>
          <w:rFonts w:cs="Times New Roman"/>
          <w:color w:val="000000"/>
          <w:szCs w:val="24"/>
          <w:lang w:val="en-ZW"/>
        </w:rPr>
        <w:t xml:space="preserve">Inventory prepared </w:t>
      </w:r>
      <w:r w:rsidR="00454AC9" w:rsidRPr="006526E9">
        <w:rPr>
          <w:rFonts w:cs="Times New Roman"/>
          <w:color w:val="000000"/>
          <w:szCs w:val="24"/>
          <w:lang w:val="en-ZW"/>
        </w:rPr>
        <w:t xml:space="preserve">by the Executor </w:t>
      </w:r>
      <w:r w:rsidR="001B3937" w:rsidRPr="006526E9">
        <w:rPr>
          <w:rFonts w:cs="Times New Roman"/>
          <w:color w:val="000000"/>
          <w:szCs w:val="24"/>
          <w:lang w:val="en-ZW"/>
        </w:rPr>
        <w:t xml:space="preserve">in terms of the provisions of the Administration of </w:t>
      </w:r>
      <w:r w:rsidR="00454AC9" w:rsidRPr="006526E9">
        <w:rPr>
          <w:rFonts w:cs="Times New Roman"/>
          <w:color w:val="000000"/>
          <w:szCs w:val="24"/>
          <w:lang w:val="en-ZW"/>
        </w:rPr>
        <w:t xml:space="preserve">Estates Act put the value of the property at USD15 000.00. </w:t>
      </w:r>
      <w:r w:rsidR="00CE286D" w:rsidRPr="006526E9">
        <w:rPr>
          <w:rFonts w:cs="Times New Roman"/>
          <w:color w:val="000000"/>
          <w:szCs w:val="24"/>
          <w:lang w:val="en-ZW"/>
        </w:rPr>
        <w:t xml:space="preserve">The Master accepted the Inventory. </w:t>
      </w:r>
      <w:r w:rsidR="00BB3BAD" w:rsidRPr="006526E9">
        <w:rPr>
          <w:szCs w:val="24"/>
        </w:rPr>
        <w:t>This is a court of law, and whatever decision it makes must be grounded on the law. This court cannot unnecessarily interfere with the processes and decisions of the Master. It is for these reasons that this application must fail.</w:t>
      </w:r>
    </w:p>
    <w:p w:rsidR="006526E9" w:rsidRDefault="006526E9" w:rsidP="00952ED6">
      <w:pPr>
        <w:autoSpaceDE w:val="0"/>
        <w:autoSpaceDN w:val="0"/>
        <w:adjustRightInd w:val="0"/>
        <w:spacing w:before="0" w:beforeAutospacing="0" w:after="0" w:afterAutospacing="0"/>
        <w:jc w:val="both"/>
        <w:rPr>
          <w:szCs w:val="24"/>
        </w:rPr>
      </w:pPr>
    </w:p>
    <w:p w:rsidR="006526E9" w:rsidRDefault="006526E9" w:rsidP="00952ED6">
      <w:pPr>
        <w:autoSpaceDE w:val="0"/>
        <w:autoSpaceDN w:val="0"/>
        <w:adjustRightInd w:val="0"/>
        <w:spacing w:before="0" w:beforeAutospacing="0" w:after="0" w:afterAutospacing="0"/>
        <w:jc w:val="both"/>
        <w:rPr>
          <w:szCs w:val="24"/>
        </w:rPr>
      </w:pPr>
      <w:r>
        <w:rPr>
          <w:szCs w:val="24"/>
        </w:rPr>
        <w:tab/>
      </w:r>
      <w:r w:rsidRPr="00C56942">
        <w:rPr>
          <w:szCs w:val="24"/>
        </w:rPr>
        <w:t>The general rule in matters of costs is that the successful party should be given its costs, and this rule should not be departed from except where there are good grounds for doing so. I can think of no reason why I should deviate from this general rule. I therefore intend awarding costs against the applicant.</w:t>
      </w:r>
    </w:p>
    <w:p w:rsidR="00F607D5" w:rsidRDefault="00F607D5" w:rsidP="00952ED6">
      <w:pPr>
        <w:autoSpaceDE w:val="0"/>
        <w:autoSpaceDN w:val="0"/>
        <w:adjustRightInd w:val="0"/>
        <w:spacing w:before="0" w:beforeAutospacing="0" w:after="0" w:afterAutospacing="0"/>
        <w:jc w:val="both"/>
        <w:rPr>
          <w:szCs w:val="24"/>
        </w:rPr>
      </w:pPr>
    </w:p>
    <w:p w:rsidR="000B380F" w:rsidRDefault="000B380F" w:rsidP="00952ED6">
      <w:pPr>
        <w:autoSpaceDE w:val="0"/>
        <w:autoSpaceDN w:val="0"/>
        <w:adjustRightInd w:val="0"/>
        <w:spacing w:before="0" w:beforeAutospacing="0" w:after="0" w:afterAutospacing="0"/>
        <w:jc w:val="both"/>
        <w:rPr>
          <w:b/>
          <w:szCs w:val="24"/>
        </w:rPr>
      </w:pPr>
    </w:p>
    <w:p w:rsidR="00C56942" w:rsidRDefault="00C56942" w:rsidP="00952ED6">
      <w:pPr>
        <w:autoSpaceDE w:val="0"/>
        <w:autoSpaceDN w:val="0"/>
        <w:adjustRightInd w:val="0"/>
        <w:spacing w:before="0" w:beforeAutospacing="0" w:after="0" w:afterAutospacing="0"/>
        <w:jc w:val="both"/>
        <w:rPr>
          <w:b/>
          <w:szCs w:val="24"/>
        </w:rPr>
      </w:pPr>
      <w:r w:rsidRPr="007B4645">
        <w:rPr>
          <w:b/>
          <w:szCs w:val="24"/>
        </w:rPr>
        <w:lastRenderedPageBreak/>
        <w:t xml:space="preserve">Disposition </w:t>
      </w:r>
    </w:p>
    <w:p w:rsidR="007B4645" w:rsidRDefault="007B4645" w:rsidP="00952ED6">
      <w:pPr>
        <w:autoSpaceDE w:val="0"/>
        <w:autoSpaceDN w:val="0"/>
        <w:adjustRightInd w:val="0"/>
        <w:spacing w:before="0" w:beforeAutospacing="0" w:after="0" w:afterAutospacing="0"/>
        <w:jc w:val="both"/>
        <w:rPr>
          <w:b/>
          <w:szCs w:val="24"/>
        </w:rPr>
      </w:pPr>
    </w:p>
    <w:p w:rsidR="007B4645" w:rsidRDefault="000B2298" w:rsidP="007B4645">
      <w:pPr>
        <w:autoSpaceDE w:val="0"/>
        <w:autoSpaceDN w:val="0"/>
        <w:adjustRightInd w:val="0"/>
        <w:spacing w:before="0" w:beforeAutospacing="0" w:after="0" w:afterAutospacing="0"/>
        <w:ind w:firstLine="720"/>
        <w:jc w:val="both"/>
        <w:rPr>
          <w:szCs w:val="24"/>
        </w:rPr>
      </w:pPr>
      <w:r>
        <w:rPr>
          <w:szCs w:val="24"/>
        </w:rPr>
        <w:t>In the premises</w:t>
      </w:r>
      <w:r w:rsidR="00A50E5B">
        <w:rPr>
          <w:szCs w:val="24"/>
        </w:rPr>
        <w:t>,</w:t>
      </w:r>
      <w:r w:rsidR="000B380F">
        <w:rPr>
          <w:szCs w:val="24"/>
        </w:rPr>
        <w:t xml:space="preserve"> I find that applicant has not made a cas</w:t>
      </w:r>
      <w:r w:rsidR="00214AFE">
        <w:rPr>
          <w:szCs w:val="24"/>
        </w:rPr>
        <w:t>e for the relief he is seeking</w:t>
      </w:r>
      <w:r w:rsidR="007B4645" w:rsidRPr="007B4645">
        <w:rPr>
          <w:szCs w:val="24"/>
        </w:rPr>
        <w:t>. In the result, this application</w:t>
      </w:r>
      <w:r w:rsidR="007D4369">
        <w:rPr>
          <w:szCs w:val="24"/>
        </w:rPr>
        <w:t xml:space="preserve"> be and is</w:t>
      </w:r>
      <w:r w:rsidR="007B4645" w:rsidRPr="007B4645">
        <w:rPr>
          <w:szCs w:val="24"/>
        </w:rPr>
        <w:t xml:space="preserve"> hereby dismissed with costs of suit.</w:t>
      </w:r>
    </w:p>
    <w:p w:rsidR="00815AE6" w:rsidRDefault="00815AE6" w:rsidP="007B4645">
      <w:pPr>
        <w:autoSpaceDE w:val="0"/>
        <w:autoSpaceDN w:val="0"/>
        <w:adjustRightInd w:val="0"/>
        <w:spacing w:before="0" w:beforeAutospacing="0" w:after="0" w:afterAutospacing="0"/>
        <w:ind w:firstLine="720"/>
        <w:jc w:val="both"/>
        <w:rPr>
          <w:szCs w:val="24"/>
        </w:rPr>
      </w:pPr>
    </w:p>
    <w:p w:rsidR="00815AE6" w:rsidRDefault="00815AE6" w:rsidP="007B4645">
      <w:pPr>
        <w:autoSpaceDE w:val="0"/>
        <w:autoSpaceDN w:val="0"/>
        <w:adjustRightInd w:val="0"/>
        <w:spacing w:before="0" w:beforeAutospacing="0" w:after="0" w:afterAutospacing="0"/>
        <w:ind w:firstLine="720"/>
        <w:jc w:val="both"/>
        <w:rPr>
          <w:szCs w:val="24"/>
        </w:rPr>
      </w:pPr>
    </w:p>
    <w:p w:rsidR="00815AE6" w:rsidRDefault="00815AE6" w:rsidP="007B4645">
      <w:pPr>
        <w:autoSpaceDE w:val="0"/>
        <w:autoSpaceDN w:val="0"/>
        <w:adjustRightInd w:val="0"/>
        <w:spacing w:before="0" w:beforeAutospacing="0" w:after="0" w:afterAutospacing="0"/>
        <w:ind w:firstLine="720"/>
        <w:jc w:val="both"/>
        <w:rPr>
          <w:szCs w:val="24"/>
        </w:rPr>
      </w:pPr>
    </w:p>
    <w:p w:rsidR="00815AE6" w:rsidRDefault="00815AE6" w:rsidP="00815AE6">
      <w:pPr>
        <w:pStyle w:val="NoSpacing"/>
        <w:jc w:val="both"/>
        <w:rPr>
          <w:szCs w:val="24"/>
        </w:rPr>
      </w:pPr>
      <w:r>
        <w:rPr>
          <w:i/>
          <w:szCs w:val="24"/>
        </w:rPr>
        <w:t>Sansole and Senda,</w:t>
      </w:r>
      <w:r w:rsidRPr="00D10188">
        <w:rPr>
          <w:szCs w:val="24"/>
        </w:rPr>
        <w:t xml:space="preserve"> </w:t>
      </w:r>
      <w:r>
        <w:rPr>
          <w:szCs w:val="24"/>
        </w:rPr>
        <w:t>2</w:t>
      </w:r>
      <w:r w:rsidRPr="00C701B2">
        <w:rPr>
          <w:szCs w:val="24"/>
          <w:vertAlign w:val="superscript"/>
        </w:rPr>
        <w:t>nd</w:t>
      </w:r>
      <w:r>
        <w:rPr>
          <w:szCs w:val="24"/>
        </w:rPr>
        <w:t xml:space="preserve"> </w:t>
      </w:r>
      <w:r w:rsidRPr="00D10188">
        <w:rPr>
          <w:szCs w:val="24"/>
        </w:rPr>
        <w:t>respondent’s legal practitioners</w:t>
      </w:r>
    </w:p>
    <w:p w:rsidR="00815AE6" w:rsidRPr="007B4645" w:rsidRDefault="00815AE6" w:rsidP="007B4645">
      <w:pPr>
        <w:autoSpaceDE w:val="0"/>
        <w:autoSpaceDN w:val="0"/>
        <w:adjustRightInd w:val="0"/>
        <w:spacing w:before="0" w:beforeAutospacing="0" w:after="0" w:afterAutospacing="0"/>
        <w:ind w:firstLine="720"/>
        <w:jc w:val="both"/>
        <w:rPr>
          <w:rFonts w:cs="Times New Roman"/>
          <w:b/>
          <w:color w:val="000000"/>
          <w:szCs w:val="24"/>
          <w:lang w:val="en-ZW"/>
        </w:rPr>
      </w:pPr>
    </w:p>
    <w:sectPr w:rsidR="00815AE6" w:rsidRPr="007B464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6AD" w:rsidRDefault="000506AD" w:rsidP="004E262A">
      <w:pPr>
        <w:spacing w:before="0" w:after="0" w:line="240" w:lineRule="auto"/>
      </w:pPr>
      <w:r>
        <w:separator/>
      </w:r>
    </w:p>
  </w:endnote>
  <w:endnote w:type="continuationSeparator" w:id="0">
    <w:p w:rsidR="000506AD" w:rsidRDefault="000506AD" w:rsidP="004E26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6AD" w:rsidRDefault="000506AD" w:rsidP="004E262A">
      <w:pPr>
        <w:spacing w:before="0" w:after="0" w:line="240" w:lineRule="auto"/>
      </w:pPr>
      <w:r>
        <w:separator/>
      </w:r>
    </w:p>
  </w:footnote>
  <w:footnote w:type="continuationSeparator" w:id="0">
    <w:p w:rsidR="000506AD" w:rsidRDefault="000506AD" w:rsidP="004E262A">
      <w:pPr>
        <w:spacing w:before="0" w:after="0" w:line="240" w:lineRule="auto"/>
      </w:pPr>
      <w:r>
        <w:continuationSeparator/>
      </w:r>
    </w:p>
  </w:footnote>
  <w:footnote w:id="1">
    <w:p w:rsidR="00190653" w:rsidRPr="00190653" w:rsidRDefault="00190653" w:rsidP="00190653">
      <w:pPr>
        <w:pStyle w:val="FootnoteText"/>
        <w:jc w:val="both"/>
        <w:rPr>
          <w:lang w:val="en-ZW"/>
        </w:rPr>
      </w:pPr>
      <w:r>
        <w:rPr>
          <w:rStyle w:val="FootnoteReference"/>
        </w:rPr>
        <w:footnoteRef/>
      </w:r>
      <w:r>
        <w:t xml:space="preserve"> </w:t>
      </w:r>
      <w:r w:rsidRPr="00190653">
        <w:t>This application was filed before the enactment of the High Court Rules, 2021.</w:t>
      </w:r>
    </w:p>
  </w:footnote>
  <w:footnote w:id="2">
    <w:p w:rsidR="004E262A" w:rsidRPr="004E262A" w:rsidRDefault="004E262A" w:rsidP="001D1980">
      <w:pPr>
        <w:pStyle w:val="FootnoteText"/>
        <w:spacing w:line="276" w:lineRule="auto"/>
        <w:jc w:val="both"/>
        <w:rPr>
          <w:lang w:val="en-ZW"/>
        </w:rPr>
      </w:pPr>
      <w:r>
        <w:rPr>
          <w:rStyle w:val="FootnoteReference"/>
        </w:rPr>
        <w:footnoteRef/>
      </w:r>
      <w:r>
        <w:t xml:space="preserve"> </w:t>
      </w:r>
      <w:r w:rsidRPr="004E262A">
        <w:rPr>
          <w:lang w:val="en-ZW"/>
        </w:rPr>
        <w:t>In the minutes of the meeting he is cited as Elphas Sibanda, and he explained during the hearing of this application that the Elphas Sibanda referred to in the minutes is himself, he u</w:t>
      </w:r>
      <w:r w:rsidR="001D1980">
        <w:rPr>
          <w:lang w:val="en-ZW"/>
        </w:rPr>
        <w:t>sed to use such name and has now</w:t>
      </w:r>
      <w:r w:rsidRPr="004E262A">
        <w:rPr>
          <w:lang w:val="en-ZW"/>
        </w:rPr>
        <w:t xml:space="preserve"> changed to Maphisa, which is his ancestral surname. </w:t>
      </w:r>
    </w:p>
    <w:p w:rsidR="004E262A" w:rsidRPr="004E262A" w:rsidRDefault="004E262A">
      <w:pPr>
        <w:pStyle w:val="FootnoteText"/>
        <w:rPr>
          <w:lang w:val="en-ZW"/>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414711"/>
      <w:docPartObj>
        <w:docPartGallery w:val="Page Numbers (Top of Page)"/>
        <w:docPartUnique/>
      </w:docPartObj>
    </w:sdtPr>
    <w:sdtEndPr>
      <w:rPr>
        <w:noProof/>
      </w:rPr>
    </w:sdtEndPr>
    <w:sdtContent>
      <w:p w:rsidR="001151D9" w:rsidRPr="001151D9" w:rsidRDefault="001151D9" w:rsidP="001151D9">
        <w:pPr>
          <w:pStyle w:val="NoSpacing"/>
          <w:jc w:val="right"/>
          <w:rPr>
            <w:noProof/>
          </w:rPr>
        </w:pPr>
        <w:r w:rsidRPr="001151D9">
          <w:fldChar w:fldCharType="begin"/>
        </w:r>
        <w:r w:rsidRPr="001151D9">
          <w:instrText xml:space="preserve"> PAGE   \* MERGEFORMAT </w:instrText>
        </w:r>
        <w:r w:rsidRPr="001151D9">
          <w:fldChar w:fldCharType="separate"/>
        </w:r>
        <w:r w:rsidR="00350C0A">
          <w:rPr>
            <w:noProof/>
          </w:rPr>
          <w:t>9</w:t>
        </w:r>
        <w:r w:rsidRPr="001151D9">
          <w:rPr>
            <w:noProof/>
          </w:rPr>
          <w:fldChar w:fldCharType="end"/>
        </w:r>
      </w:p>
      <w:p w:rsidR="001151D9" w:rsidRPr="001151D9" w:rsidRDefault="001151D9" w:rsidP="001151D9">
        <w:pPr>
          <w:pStyle w:val="NoSpacing"/>
          <w:jc w:val="right"/>
          <w:rPr>
            <w:noProof/>
          </w:rPr>
        </w:pPr>
        <w:r w:rsidRPr="001151D9">
          <w:rPr>
            <w:noProof/>
          </w:rPr>
          <w:t>HB 03/22</w:t>
        </w:r>
      </w:p>
      <w:p w:rsidR="001151D9" w:rsidRPr="001151D9" w:rsidRDefault="001151D9" w:rsidP="001151D9">
        <w:pPr>
          <w:pStyle w:val="NoSpacing"/>
          <w:jc w:val="right"/>
          <w:rPr>
            <w:noProof/>
          </w:rPr>
        </w:pPr>
        <w:r w:rsidRPr="001151D9">
          <w:rPr>
            <w:noProof/>
          </w:rPr>
          <w:t>HC 400/21</w:t>
        </w:r>
      </w:p>
      <w:p w:rsidR="001151D9" w:rsidRPr="001151D9" w:rsidRDefault="001151D9" w:rsidP="001151D9">
        <w:pPr>
          <w:pStyle w:val="NoSpacing"/>
          <w:jc w:val="right"/>
        </w:pPr>
        <w:r w:rsidRPr="001151D9">
          <w:rPr>
            <w:noProof/>
          </w:rPr>
          <w:t>XREF DRB 403/19</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61872"/>
    <w:multiLevelType w:val="hybridMultilevel"/>
    <w:tmpl w:val="79F632EE"/>
    <w:lvl w:ilvl="0" w:tplc="39968A3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7A97538E"/>
    <w:multiLevelType w:val="hybridMultilevel"/>
    <w:tmpl w:val="AB521A52"/>
    <w:lvl w:ilvl="0" w:tplc="D472B68C">
      <w:start w:val="1"/>
      <w:numFmt w:val="lowerRoman"/>
      <w:lvlText w:val="%1."/>
      <w:lvlJc w:val="left"/>
      <w:pPr>
        <w:ind w:left="1080" w:hanging="720"/>
      </w:pPr>
      <w:rPr>
        <w:rFonts w:cstheme="minorBidi"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77"/>
    <w:rsid w:val="0000621B"/>
    <w:rsid w:val="0001172D"/>
    <w:rsid w:val="00014696"/>
    <w:rsid w:val="0004029B"/>
    <w:rsid w:val="000506AD"/>
    <w:rsid w:val="00050912"/>
    <w:rsid w:val="000607D9"/>
    <w:rsid w:val="000753BE"/>
    <w:rsid w:val="00076C91"/>
    <w:rsid w:val="00077ABC"/>
    <w:rsid w:val="00082139"/>
    <w:rsid w:val="00096A85"/>
    <w:rsid w:val="000A4D92"/>
    <w:rsid w:val="000A50B1"/>
    <w:rsid w:val="000B2298"/>
    <w:rsid w:val="000B380F"/>
    <w:rsid w:val="000C286A"/>
    <w:rsid w:val="000E473C"/>
    <w:rsid w:val="000E6E2A"/>
    <w:rsid w:val="00100CB0"/>
    <w:rsid w:val="001020A7"/>
    <w:rsid w:val="00105E03"/>
    <w:rsid w:val="0011090E"/>
    <w:rsid w:val="001151D9"/>
    <w:rsid w:val="00125309"/>
    <w:rsid w:val="0013018E"/>
    <w:rsid w:val="00146030"/>
    <w:rsid w:val="00167848"/>
    <w:rsid w:val="00167D2B"/>
    <w:rsid w:val="00190653"/>
    <w:rsid w:val="001943E2"/>
    <w:rsid w:val="001A504F"/>
    <w:rsid w:val="001B0891"/>
    <w:rsid w:val="001B3937"/>
    <w:rsid w:val="001C17B7"/>
    <w:rsid w:val="001C24A8"/>
    <w:rsid w:val="001C4B73"/>
    <w:rsid w:val="001D1980"/>
    <w:rsid w:val="001D2343"/>
    <w:rsid w:val="001E44F9"/>
    <w:rsid w:val="001F549B"/>
    <w:rsid w:val="00201F86"/>
    <w:rsid w:val="00214AFE"/>
    <w:rsid w:val="00215F8D"/>
    <w:rsid w:val="00220E03"/>
    <w:rsid w:val="002323EC"/>
    <w:rsid w:val="00233112"/>
    <w:rsid w:val="002362A6"/>
    <w:rsid w:val="00237593"/>
    <w:rsid w:val="00252FA2"/>
    <w:rsid w:val="00262B0D"/>
    <w:rsid w:val="00264677"/>
    <w:rsid w:val="002742AE"/>
    <w:rsid w:val="00295CDC"/>
    <w:rsid w:val="002977EB"/>
    <w:rsid w:val="002A0260"/>
    <w:rsid w:val="002A7C14"/>
    <w:rsid w:val="002C4C72"/>
    <w:rsid w:val="002C719D"/>
    <w:rsid w:val="002D0B50"/>
    <w:rsid w:val="002D1768"/>
    <w:rsid w:val="002E69B0"/>
    <w:rsid w:val="00305BF7"/>
    <w:rsid w:val="003118C6"/>
    <w:rsid w:val="00313640"/>
    <w:rsid w:val="00323CF4"/>
    <w:rsid w:val="00327D9B"/>
    <w:rsid w:val="003344EB"/>
    <w:rsid w:val="00335B26"/>
    <w:rsid w:val="00346867"/>
    <w:rsid w:val="00350C0A"/>
    <w:rsid w:val="00354555"/>
    <w:rsid w:val="0036288B"/>
    <w:rsid w:val="003838CA"/>
    <w:rsid w:val="003A454A"/>
    <w:rsid w:val="003A50FE"/>
    <w:rsid w:val="003D0E59"/>
    <w:rsid w:val="003D36C3"/>
    <w:rsid w:val="003D685A"/>
    <w:rsid w:val="003E788F"/>
    <w:rsid w:val="003F3E10"/>
    <w:rsid w:val="003F6AC8"/>
    <w:rsid w:val="0040283D"/>
    <w:rsid w:val="004061BC"/>
    <w:rsid w:val="004072BB"/>
    <w:rsid w:val="004078F6"/>
    <w:rsid w:val="0041719F"/>
    <w:rsid w:val="00433AFB"/>
    <w:rsid w:val="00445C3F"/>
    <w:rsid w:val="00446526"/>
    <w:rsid w:val="0045309A"/>
    <w:rsid w:val="00454AC9"/>
    <w:rsid w:val="00455EA7"/>
    <w:rsid w:val="00455FD9"/>
    <w:rsid w:val="004E262A"/>
    <w:rsid w:val="004E6294"/>
    <w:rsid w:val="004F1F92"/>
    <w:rsid w:val="004F5F5D"/>
    <w:rsid w:val="0051054A"/>
    <w:rsid w:val="005244DD"/>
    <w:rsid w:val="0053151C"/>
    <w:rsid w:val="00531FC2"/>
    <w:rsid w:val="005470D8"/>
    <w:rsid w:val="00551E2F"/>
    <w:rsid w:val="0055269F"/>
    <w:rsid w:val="00561132"/>
    <w:rsid w:val="00561EB0"/>
    <w:rsid w:val="005744B0"/>
    <w:rsid w:val="005C5270"/>
    <w:rsid w:val="005D480D"/>
    <w:rsid w:val="005F3743"/>
    <w:rsid w:val="006119A8"/>
    <w:rsid w:val="0062604D"/>
    <w:rsid w:val="00627F45"/>
    <w:rsid w:val="00634005"/>
    <w:rsid w:val="006526E9"/>
    <w:rsid w:val="006533DA"/>
    <w:rsid w:val="00663E44"/>
    <w:rsid w:val="00664893"/>
    <w:rsid w:val="006832D1"/>
    <w:rsid w:val="00685AFF"/>
    <w:rsid w:val="006929E2"/>
    <w:rsid w:val="006A0250"/>
    <w:rsid w:val="006B3518"/>
    <w:rsid w:val="006B6151"/>
    <w:rsid w:val="006D2533"/>
    <w:rsid w:val="006F3C7C"/>
    <w:rsid w:val="006F3FDC"/>
    <w:rsid w:val="0071088D"/>
    <w:rsid w:val="00716214"/>
    <w:rsid w:val="00717885"/>
    <w:rsid w:val="00735FA6"/>
    <w:rsid w:val="0075473F"/>
    <w:rsid w:val="007637CA"/>
    <w:rsid w:val="0076543C"/>
    <w:rsid w:val="007842F9"/>
    <w:rsid w:val="00795D5F"/>
    <w:rsid w:val="00797C0C"/>
    <w:rsid w:val="007B4645"/>
    <w:rsid w:val="007C3022"/>
    <w:rsid w:val="007D2129"/>
    <w:rsid w:val="007D28C3"/>
    <w:rsid w:val="007D4369"/>
    <w:rsid w:val="007D6742"/>
    <w:rsid w:val="007E3369"/>
    <w:rsid w:val="007E5FDC"/>
    <w:rsid w:val="007F11CE"/>
    <w:rsid w:val="007F5E4C"/>
    <w:rsid w:val="00815AE6"/>
    <w:rsid w:val="00822576"/>
    <w:rsid w:val="00851180"/>
    <w:rsid w:val="00861459"/>
    <w:rsid w:val="00882B53"/>
    <w:rsid w:val="0089477D"/>
    <w:rsid w:val="008A05B1"/>
    <w:rsid w:val="008A2F18"/>
    <w:rsid w:val="008B1EC9"/>
    <w:rsid w:val="008B5B33"/>
    <w:rsid w:val="008C05D7"/>
    <w:rsid w:val="008C6C14"/>
    <w:rsid w:val="008C7D9B"/>
    <w:rsid w:val="008E2435"/>
    <w:rsid w:val="008F60C6"/>
    <w:rsid w:val="00901FDF"/>
    <w:rsid w:val="009027A4"/>
    <w:rsid w:val="009052F7"/>
    <w:rsid w:val="00927CFA"/>
    <w:rsid w:val="0093026F"/>
    <w:rsid w:val="00931AB9"/>
    <w:rsid w:val="00934A7D"/>
    <w:rsid w:val="0094304C"/>
    <w:rsid w:val="009479FB"/>
    <w:rsid w:val="00952ED6"/>
    <w:rsid w:val="00957214"/>
    <w:rsid w:val="0096077D"/>
    <w:rsid w:val="00962B53"/>
    <w:rsid w:val="00964081"/>
    <w:rsid w:val="00966B2D"/>
    <w:rsid w:val="00985E41"/>
    <w:rsid w:val="009A16BC"/>
    <w:rsid w:val="009A228F"/>
    <w:rsid w:val="009C0A9D"/>
    <w:rsid w:val="009C4BBD"/>
    <w:rsid w:val="009C6C2C"/>
    <w:rsid w:val="009D02C2"/>
    <w:rsid w:val="009D1B37"/>
    <w:rsid w:val="009D7929"/>
    <w:rsid w:val="009E0AD7"/>
    <w:rsid w:val="009E46EA"/>
    <w:rsid w:val="009F3A42"/>
    <w:rsid w:val="009F785B"/>
    <w:rsid w:val="00A01E77"/>
    <w:rsid w:val="00A02FBA"/>
    <w:rsid w:val="00A0553F"/>
    <w:rsid w:val="00A13E55"/>
    <w:rsid w:val="00A17874"/>
    <w:rsid w:val="00A20BF5"/>
    <w:rsid w:val="00A33683"/>
    <w:rsid w:val="00A43987"/>
    <w:rsid w:val="00A50E5B"/>
    <w:rsid w:val="00A9783E"/>
    <w:rsid w:val="00AA7DDA"/>
    <w:rsid w:val="00AD4731"/>
    <w:rsid w:val="00AD5B2B"/>
    <w:rsid w:val="00AE680E"/>
    <w:rsid w:val="00AF2E7D"/>
    <w:rsid w:val="00AF6714"/>
    <w:rsid w:val="00AF67F0"/>
    <w:rsid w:val="00B01D9F"/>
    <w:rsid w:val="00B04969"/>
    <w:rsid w:val="00B06053"/>
    <w:rsid w:val="00B11A7B"/>
    <w:rsid w:val="00B205C2"/>
    <w:rsid w:val="00B2080D"/>
    <w:rsid w:val="00B22710"/>
    <w:rsid w:val="00B272EB"/>
    <w:rsid w:val="00B6285A"/>
    <w:rsid w:val="00B83C2C"/>
    <w:rsid w:val="00B8644D"/>
    <w:rsid w:val="00B943C6"/>
    <w:rsid w:val="00BB3BAD"/>
    <w:rsid w:val="00BB5E87"/>
    <w:rsid w:val="00BD0BFC"/>
    <w:rsid w:val="00BE6155"/>
    <w:rsid w:val="00BF066B"/>
    <w:rsid w:val="00C17769"/>
    <w:rsid w:val="00C43C89"/>
    <w:rsid w:val="00C56942"/>
    <w:rsid w:val="00C617AA"/>
    <w:rsid w:val="00C735BE"/>
    <w:rsid w:val="00C774C8"/>
    <w:rsid w:val="00C81EEC"/>
    <w:rsid w:val="00C8224E"/>
    <w:rsid w:val="00C82529"/>
    <w:rsid w:val="00CE06F1"/>
    <w:rsid w:val="00CE286D"/>
    <w:rsid w:val="00CE4821"/>
    <w:rsid w:val="00CF0AA4"/>
    <w:rsid w:val="00D01408"/>
    <w:rsid w:val="00D206A9"/>
    <w:rsid w:val="00D30639"/>
    <w:rsid w:val="00D325A1"/>
    <w:rsid w:val="00D3576D"/>
    <w:rsid w:val="00D3745E"/>
    <w:rsid w:val="00D47140"/>
    <w:rsid w:val="00D526D9"/>
    <w:rsid w:val="00D5496E"/>
    <w:rsid w:val="00D66412"/>
    <w:rsid w:val="00D815DF"/>
    <w:rsid w:val="00D8362B"/>
    <w:rsid w:val="00D83BCF"/>
    <w:rsid w:val="00D96C6D"/>
    <w:rsid w:val="00DC357F"/>
    <w:rsid w:val="00DC36CE"/>
    <w:rsid w:val="00DD1EC5"/>
    <w:rsid w:val="00DE0A0A"/>
    <w:rsid w:val="00DE2DE7"/>
    <w:rsid w:val="00DE59EE"/>
    <w:rsid w:val="00DF0CF1"/>
    <w:rsid w:val="00DF6217"/>
    <w:rsid w:val="00DF689F"/>
    <w:rsid w:val="00E216C0"/>
    <w:rsid w:val="00E327EC"/>
    <w:rsid w:val="00E34B1B"/>
    <w:rsid w:val="00E364C2"/>
    <w:rsid w:val="00E55C07"/>
    <w:rsid w:val="00E57A77"/>
    <w:rsid w:val="00EA4B55"/>
    <w:rsid w:val="00EB727B"/>
    <w:rsid w:val="00EC074A"/>
    <w:rsid w:val="00ED14EC"/>
    <w:rsid w:val="00EE1E8A"/>
    <w:rsid w:val="00EE73F6"/>
    <w:rsid w:val="00EF6CB4"/>
    <w:rsid w:val="00F31C04"/>
    <w:rsid w:val="00F416AD"/>
    <w:rsid w:val="00F4468F"/>
    <w:rsid w:val="00F55607"/>
    <w:rsid w:val="00F559EC"/>
    <w:rsid w:val="00F607D5"/>
    <w:rsid w:val="00F6496A"/>
    <w:rsid w:val="00F732AD"/>
    <w:rsid w:val="00F92BFA"/>
    <w:rsid w:val="00F951CB"/>
    <w:rsid w:val="00FC0C57"/>
    <w:rsid w:val="00FC45FB"/>
    <w:rsid w:val="00FF0FD0"/>
    <w:rsid w:val="00FF6E1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16A96-1F13-47FF-9C8E-0CA3B991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A77"/>
    <w:pPr>
      <w:spacing w:before="100" w:beforeAutospacing="1" w:after="100" w:afterAutospacing="1" w:line="36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7A77"/>
    <w:pPr>
      <w:keepLines/>
      <w:spacing w:before="100" w:beforeAutospacing="1" w:after="100" w:afterAutospacing="1" w:line="240" w:lineRule="auto"/>
      <w:contextualSpacing/>
    </w:pPr>
    <w:rPr>
      <w:rFonts w:ascii="Times New Roman" w:hAnsi="Times New Roman"/>
      <w:sz w:val="24"/>
      <w:lang w:val="en-US"/>
    </w:rPr>
  </w:style>
  <w:style w:type="paragraph" w:styleId="ListParagraph">
    <w:name w:val="List Paragraph"/>
    <w:basedOn w:val="Normal"/>
    <w:uiPriority w:val="34"/>
    <w:qFormat/>
    <w:rsid w:val="00455EA7"/>
    <w:pPr>
      <w:ind w:left="720"/>
      <w:contextualSpacing/>
    </w:pPr>
  </w:style>
  <w:style w:type="paragraph" w:customStyle="1" w:styleId="Default">
    <w:name w:val="Default"/>
    <w:rsid w:val="00D01408"/>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4E262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E262A"/>
    <w:rPr>
      <w:rFonts w:ascii="Times New Roman" w:hAnsi="Times New Roman"/>
      <w:sz w:val="20"/>
      <w:szCs w:val="20"/>
      <w:lang w:val="en-US"/>
    </w:rPr>
  </w:style>
  <w:style w:type="character" w:styleId="FootnoteReference">
    <w:name w:val="footnote reference"/>
    <w:basedOn w:val="DefaultParagraphFont"/>
    <w:uiPriority w:val="99"/>
    <w:semiHidden/>
    <w:unhideWhenUsed/>
    <w:rsid w:val="004E262A"/>
    <w:rPr>
      <w:vertAlign w:val="superscript"/>
    </w:rPr>
  </w:style>
  <w:style w:type="paragraph" w:styleId="Header">
    <w:name w:val="header"/>
    <w:basedOn w:val="Normal"/>
    <w:link w:val="HeaderChar"/>
    <w:uiPriority w:val="99"/>
    <w:unhideWhenUsed/>
    <w:rsid w:val="001151D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151D9"/>
    <w:rPr>
      <w:rFonts w:ascii="Times New Roman" w:hAnsi="Times New Roman"/>
      <w:sz w:val="24"/>
      <w:lang w:val="en-US"/>
    </w:rPr>
  </w:style>
  <w:style w:type="paragraph" w:styleId="Footer">
    <w:name w:val="footer"/>
    <w:basedOn w:val="Normal"/>
    <w:link w:val="FooterChar"/>
    <w:uiPriority w:val="99"/>
    <w:unhideWhenUsed/>
    <w:rsid w:val="001151D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151D9"/>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8511E-6029-4A73-9CC3-2960B676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9</Pages>
  <Words>2373</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USR</cp:lastModifiedBy>
  <cp:revision>52</cp:revision>
  <dcterms:created xsi:type="dcterms:W3CDTF">2021-11-30T13:50:00Z</dcterms:created>
  <dcterms:modified xsi:type="dcterms:W3CDTF">2022-01-05T07:14:00Z</dcterms:modified>
</cp:coreProperties>
</file>