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72" w:rsidRDefault="0046194B" w:rsidP="0059307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ICE CLASS PROPERTIES (PVT) LTD</w:t>
      </w:r>
      <w:r w:rsidR="00593072">
        <w:rPr>
          <w:rFonts w:ascii="Times New Roman" w:hAnsi="Times New Roman" w:cs="Times New Roman"/>
          <w:sz w:val="24"/>
          <w:szCs w:val="24"/>
        </w:rPr>
        <w:tab/>
      </w:r>
      <w:r w:rsidR="00593072">
        <w:rPr>
          <w:rFonts w:ascii="Times New Roman" w:hAnsi="Times New Roman" w:cs="Times New Roman"/>
          <w:sz w:val="24"/>
          <w:szCs w:val="24"/>
        </w:rPr>
        <w:tab/>
      </w:r>
      <w:r w:rsidR="00593072">
        <w:rPr>
          <w:rFonts w:ascii="Times New Roman" w:hAnsi="Times New Roman" w:cs="Times New Roman"/>
          <w:sz w:val="24"/>
          <w:szCs w:val="24"/>
        </w:rPr>
        <w:tab/>
      </w:r>
      <w:r w:rsidR="00593072">
        <w:rPr>
          <w:rFonts w:ascii="Times New Roman" w:hAnsi="Times New Roman" w:cs="Times New Roman"/>
          <w:sz w:val="24"/>
          <w:szCs w:val="24"/>
        </w:rPr>
        <w:tab/>
      </w:r>
    </w:p>
    <w:p w:rsidR="00593072" w:rsidRDefault="00593072" w:rsidP="00FF40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93072" w:rsidRDefault="0046194B" w:rsidP="0059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NMB BANK LIMITED</w:t>
      </w:r>
    </w:p>
    <w:p w:rsidR="00593072" w:rsidRDefault="00593072" w:rsidP="0059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93072" w:rsidRDefault="0046194B" w:rsidP="0059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REVENUE AUTHORITY</w:t>
      </w:r>
    </w:p>
    <w:p w:rsidR="00593072" w:rsidRDefault="00593072" w:rsidP="00B32BBC">
      <w:pPr>
        <w:spacing w:after="0" w:line="240" w:lineRule="auto"/>
        <w:jc w:val="both"/>
        <w:rPr>
          <w:rFonts w:ascii="Times New Roman" w:hAnsi="Times New Roman" w:cs="Times New Roman"/>
          <w:sz w:val="24"/>
          <w:szCs w:val="24"/>
        </w:rPr>
      </w:pPr>
    </w:p>
    <w:p w:rsidR="008F2581" w:rsidRDefault="008F2581" w:rsidP="00B32BBC">
      <w:pPr>
        <w:spacing w:after="0" w:line="240" w:lineRule="auto"/>
        <w:jc w:val="both"/>
        <w:rPr>
          <w:rFonts w:ascii="Times New Roman" w:hAnsi="Times New Roman" w:cs="Times New Roman"/>
          <w:sz w:val="24"/>
          <w:szCs w:val="24"/>
        </w:rPr>
      </w:pPr>
    </w:p>
    <w:p w:rsidR="008F2581" w:rsidRDefault="008F2581" w:rsidP="00B32BBC">
      <w:pPr>
        <w:spacing w:after="0" w:line="240" w:lineRule="auto"/>
        <w:jc w:val="both"/>
        <w:rPr>
          <w:rFonts w:ascii="Times New Roman" w:hAnsi="Times New Roman" w:cs="Times New Roman"/>
          <w:sz w:val="24"/>
          <w:szCs w:val="24"/>
        </w:rPr>
      </w:pPr>
    </w:p>
    <w:p w:rsidR="005D6D38" w:rsidRDefault="005D6D3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D6D38" w:rsidRDefault="005D6D3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5D6D38" w:rsidRDefault="005D6D3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46194B">
        <w:rPr>
          <w:rFonts w:ascii="Times New Roman" w:hAnsi="Times New Roman" w:cs="Times New Roman"/>
          <w:sz w:val="24"/>
          <w:szCs w:val="24"/>
        </w:rPr>
        <w:t>26</w:t>
      </w:r>
      <w:r w:rsidR="009F7B37">
        <w:rPr>
          <w:rFonts w:ascii="Times New Roman" w:hAnsi="Times New Roman" w:cs="Times New Roman"/>
          <w:sz w:val="24"/>
          <w:szCs w:val="24"/>
        </w:rPr>
        <w:t xml:space="preserve"> November, 2018</w:t>
      </w:r>
      <w:r w:rsidR="002E6BD7">
        <w:rPr>
          <w:rFonts w:ascii="Times New Roman" w:hAnsi="Times New Roman" w:cs="Times New Roman"/>
          <w:sz w:val="24"/>
          <w:szCs w:val="24"/>
        </w:rPr>
        <w:t xml:space="preserve"> and 22 January, 2019</w:t>
      </w:r>
    </w:p>
    <w:p w:rsidR="005D6D38" w:rsidRDefault="005D6D38" w:rsidP="00B32BBC">
      <w:pPr>
        <w:spacing w:after="0" w:line="360" w:lineRule="auto"/>
        <w:jc w:val="both"/>
        <w:rPr>
          <w:rFonts w:ascii="Times New Roman" w:hAnsi="Times New Roman" w:cs="Times New Roman"/>
          <w:sz w:val="24"/>
          <w:szCs w:val="24"/>
        </w:rPr>
      </w:pPr>
    </w:p>
    <w:p w:rsidR="005D6D38" w:rsidRDefault="005D6D38" w:rsidP="00B32BBC">
      <w:pPr>
        <w:spacing w:after="0" w:line="360" w:lineRule="auto"/>
        <w:jc w:val="both"/>
        <w:rPr>
          <w:rFonts w:ascii="Times New Roman" w:hAnsi="Times New Roman" w:cs="Times New Roman"/>
          <w:sz w:val="24"/>
          <w:szCs w:val="24"/>
        </w:rPr>
      </w:pPr>
    </w:p>
    <w:p w:rsidR="004F7615" w:rsidRDefault="00DC29E1" w:rsidP="00B32BBC">
      <w:pPr>
        <w:spacing w:after="0" w:line="360" w:lineRule="auto"/>
        <w:jc w:val="both"/>
        <w:rPr>
          <w:rFonts w:ascii="Times New Roman" w:hAnsi="Times New Roman" w:cs="Times New Roman"/>
          <w:sz w:val="24"/>
          <w:szCs w:val="24"/>
        </w:rPr>
      </w:pPr>
      <w:r w:rsidRPr="00BA52B6">
        <w:rPr>
          <w:rFonts w:ascii="Times New Roman" w:hAnsi="Times New Roman" w:cs="Times New Roman"/>
          <w:b/>
          <w:sz w:val="24"/>
          <w:szCs w:val="24"/>
        </w:rPr>
        <w:t xml:space="preserve">Opposed </w:t>
      </w:r>
      <w:r w:rsidR="0046194B">
        <w:rPr>
          <w:rFonts w:ascii="Times New Roman" w:hAnsi="Times New Roman" w:cs="Times New Roman"/>
          <w:b/>
          <w:sz w:val="24"/>
          <w:szCs w:val="24"/>
        </w:rPr>
        <w:t>Application</w:t>
      </w:r>
    </w:p>
    <w:p w:rsidR="005D6D38" w:rsidRDefault="005D6D38" w:rsidP="00B32BBC">
      <w:pPr>
        <w:spacing w:after="0" w:line="360" w:lineRule="auto"/>
        <w:jc w:val="both"/>
        <w:rPr>
          <w:rFonts w:ascii="Times New Roman" w:hAnsi="Times New Roman" w:cs="Times New Roman"/>
          <w:sz w:val="24"/>
          <w:szCs w:val="24"/>
        </w:rPr>
      </w:pPr>
    </w:p>
    <w:p w:rsidR="008A34B8" w:rsidRDefault="00A016C6" w:rsidP="00B32BB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E Gumbo</w:t>
      </w:r>
      <w:r w:rsidR="007361EC">
        <w:rPr>
          <w:rFonts w:ascii="Times New Roman" w:hAnsi="Times New Roman" w:cs="Times New Roman"/>
          <w:i/>
          <w:sz w:val="24"/>
          <w:szCs w:val="24"/>
        </w:rPr>
        <w:t>,</w:t>
      </w:r>
      <w:r w:rsidR="008A34B8">
        <w:rPr>
          <w:rFonts w:ascii="Times New Roman" w:hAnsi="Times New Roman" w:cs="Times New Roman"/>
          <w:sz w:val="24"/>
          <w:szCs w:val="24"/>
        </w:rPr>
        <w:t xml:space="preserve"> for the applicant</w:t>
      </w:r>
    </w:p>
    <w:p w:rsidR="009F7B37" w:rsidRDefault="00A016C6" w:rsidP="00B32BB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No appearance</w:t>
      </w:r>
      <w:r w:rsidR="009F7B37">
        <w:rPr>
          <w:rFonts w:ascii="Times New Roman" w:hAnsi="Times New Roman" w:cs="Times New Roman"/>
          <w:i/>
          <w:sz w:val="24"/>
          <w:szCs w:val="24"/>
        </w:rPr>
        <w:t>,</w:t>
      </w:r>
      <w:r w:rsidR="000C72F2">
        <w:rPr>
          <w:rFonts w:ascii="Times New Roman" w:hAnsi="Times New Roman" w:cs="Times New Roman"/>
          <w:sz w:val="24"/>
          <w:szCs w:val="24"/>
        </w:rPr>
        <w:t xml:space="preserve"> for the</w:t>
      </w:r>
      <w:r w:rsidR="009F7B37">
        <w:rPr>
          <w:rFonts w:ascii="Times New Roman" w:hAnsi="Times New Roman" w:cs="Times New Roman"/>
          <w:sz w:val="24"/>
          <w:szCs w:val="24"/>
        </w:rPr>
        <w:t xml:space="preserve"> </w:t>
      </w:r>
      <w:r w:rsidR="00FD7889">
        <w:rPr>
          <w:rFonts w:ascii="Times New Roman" w:hAnsi="Times New Roman" w:cs="Times New Roman"/>
          <w:sz w:val="24"/>
          <w:szCs w:val="24"/>
        </w:rPr>
        <w:t>1</w:t>
      </w:r>
      <w:r w:rsidR="00FD7889" w:rsidRPr="00FD7889">
        <w:rPr>
          <w:rFonts w:ascii="Times New Roman" w:hAnsi="Times New Roman" w:cs="Times New Roman"/>
          <w:sz w:val="24"/>
          <w:szCs w:val="24"/>
          <w:vertAlign w:val="superscript"/>
        </w:rPr>
        <w:t>st</w:t>
      </w:r>
      <w:r w:rsidR="00FD7889">
        <w:rPr>
          <w:rFonts w:ascii="Times New Roman" w:hAnsi="Times New Roman" w:cs="Times New Roman"/>
          <w:sz w:val="24"/>
          <w:szCs w:val="24"/>
        </w:rPr>
        <w:t xml:space="preserve"> </w:t>
      </w:r>
      <w:r w:rsidR="000C72F2">
        <w:rPr>
          <w:rFonts w:ascii="Times New Roman" w:hAnsi="Times New Roman" w:cs="Times New Roman"/>
          <w:sz w:val="24"/>
          <w:szCs w:val="24"/>
        </w:rPr>
        <w:t>respondent</w:t>
      </w:r>
    </w:p>
    <w:p w:rsidR="00FD7889" w:rsidRDefault="00A016C6" w:rsidP="00B32BBC">
      <w:pPr>
        <w:spacing w:after="0" w:line="240" w:lineRule="auto"/>
        <w:jc w:val="both"/>
        <w:rPr>
          <w:rFonts w:ascii="Times New Roman" w:hAnsi="Times New Roman" w:cs="Times New Roman"/>
          <w:sz w:val="24"/>
          <w:szCs w:val="24"/>
        </w:rPr>
      </w:pPr>
      <w:r w:rsidRPr="00A016C6">
        <w:rPr>
          <w:rFonts w:ascii="Times New Roman" w:hAnsi="Times New Roman" w:cs="Times New Roman"/>
          <w:i/>
          <w:sz w:val="24"/>
          <w:szCs w:val="24"/>
        </w:rPr>
        <w:t>S. Bhebhe</w:t>
      </w:r>
      <w:r>
        <w:rPr>
          <w:rFonts w:ascii="Times New Roman" w:hAnsi="Times New Roman" w:cs="Times New Roman"/>
          <w:sz w:val="24"/>
          <w:szCs w:val="24"/>
        </w:rPr>
        <w:t>,</w:t>
      </w:r>
      <w:r w:rsidR="00FD7889">
        <w:rPr>
          <w:rFonts w:ascii="Times New Roman" w:hAnsi="Times New Roman" w:cs="Times New Roman"/>
          <w:sz w:val="24"/>
          <w:szCs w:val="24"/>
        </w:rPr>
        <w:t xml:space="preserve"> for the 2</w:t>
      </w:r>
      <w:r w:rsidR="00FD7889" w:rsidRPr="00FD7889">
        <w:rPr>
          <w:rFonts w:ascii="Times New Roman" w:hAnsi="Times New Roman" w:cs="Times New Roman"/>
          <w:sz w:val="24"/>
          <w:szCs w:val="24"/>
          <w:vertAlign w:val="superscript"/>
        </w:rPr>
        <w:t>nd</w:t>
      </w:r>
      <w:r w:rsidR="00FD7889">
        <w:rPr>
          <w:rFonts w:ascii="Times New Roman" w:hAnsi="Times New Roman" w:cs="Times New Roman"/>
          <w:sz w:val="24"/>
          <w:szCs w:val="24"/>
        </w:rPr>
        <w:t xml:space="preserve"> respondent</w:t>
      </w:r>
    </w:p>
    <w:p w:rsidR="008F2581" w:rsidRDefault="008F2581" w:rsidP="000C72F2">
      <w:pPr>
        <w:spacing w:after="0" w:line="360" w:lineRule="auto"/>
        <w:jc w:val="both"/>
        <w:rPr>
          <w:rFonts w:ascii="Times New Roman" w:hAnsi="Times New Roman" w:cs="Times New Roman"/>
          <w:sz w:val="24"/>
          <w:szCs w:val="24"/>
        </w:rPr>
      </w:pPr>
    </w:p>
    <w:p w:rsidR="00C96424" w:rsidRDefault="005D6D38" w:rsidP="00461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MANGOTA J:</w:t>
      </w:r>
      <w:r w:rsidR="00505EC9">
        <w:rPr>
          <w:rFonts w:ascii="Times New Roman" w:hAnsi="Times New Roman" w:cs="Times New Roman"/>
          <w:sz w:val="24"/>
          <w:szCs w:val="24"/>
        </w:rPr>
        <w:t xml:space="preserve"> </w:t>
      </w:r>
      <w:r w:rsidR="0046194B">
        <w:rPr>
          <w:rFonts w:ascii="Times New Roman" w:hAnsi="Times New Roman" w:cs="Times New Roman"/>
          <w:sz w:val="24"/>
          <w:szCs w:val="24"/>
        </w:rPr>
        <w:t>The applicant, a legal entity</w:t>
      </w:r>
      <w:r w:rsidR="001055AD">
        <w:rPr>
          <w:rFonts w:ascii="Times New Roman" w:hAnsi="Times New Roman" w:cs="Times New Roman"/>
          <w:sz w:val="24"/>
          <w:szCs w:val="24"/>
        </w:rPr>
        <w:t>,</w:t>
      </w:r>
      <w:r w:rsidR="0046194B">
        <w:rPr>
          <w:rFonts w:ascii="Times New Roman" w:hAnsi="Times New Roman" w:cs="Times New Roman"/>
          <w:sz w:val="24"/>
          <w:szCs w:val="24"/>
        </w:rPr>
        <w:t xml:space="preserve"> borrowed some money from the first respondent which is a financial institution. It failed to repay the loan.</w:t>
      </w:r>
    </w:p>
    <w:p w:rsidR="00FD1A0E" w:rsidRPr="00FD1A0E" w:rsidRDefault="0046194B" w:rsidP="00461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 a view to sett</w:t>
      </w:r>
      <w:r w:rsidR="00754EE4">
        <w:rPr>
          <w:rFonts w:ascii="Times New Roman" w:hAnsi="Times New Roman" w:cs="Times New Roman"/>
          <w:sz w:val="24"/>
          <w:szCs w:val="24"/>
        </w:rPr>
        <w:t>l</w:t>
      </w:r>
      <w:r>
        <w:rPr>
          <w:rFonts w:ascii="Times New Roman" w:hAnsi="Times New Roman" w:cs="Times New Roman"/>
          <w:sz w:val="24"/>
          <w:szCs w:val="24"/>
        </w:rPr>
        <w:t>ing its indebtedness, the applicant sold to the first respondent a certain piece of land which is situated in the district of Salisbury called stand 19610 Harare Township of Salisbury Township Lands (“the property”). The property is 14.9665</w:t>
      </w:r>
      <w:r w:rsidR="00FD1A0E">
        <w:rPr>
          <w:rFonts w:ascii="Times New Roman" w:hAnsi="Times New Roman" w:cs="Times New Roman"/>
          <w:sz w:val="24"/>
          <w:szCs w:val="24"/>
        </w:rPr>
        <w:t xml:space="preserve"> hectares in extent. It was held under deed of transfer </w:t>
      </w:r>
      <w:r w:rsidR="001055AD">
        <w:rPr>
          <w:rFonts w:ascii="Times New Roman" w:hAnsi="Times New Roman" w:cs="Times New Roman"/>
          <w:sz w:val="24"/>
          <w:szCs w:val="24"/>
        </w:rPr>
        <w:t>N</w:t>
      </w:r>
      <w:r w:rsidR="00FD1A0E">
        <w:rPr>
          <w:rFonts w:ascii="Times New Roman" w:hAnsi="Times New Roman" w:cs="Times New Roman"/>
          <w:sz w:val="24"/>
          <w:szCs w:val="24"/>
        </w:rPr>
        <w:t>o. 2272/2009 at the time of sale. The sale took place on 20 December, 2016.</w:t>
      </w:r>
      <w:r w:rsidR="00754EE4">
        <w:rPr>
          <w:rFonts w:ascii="Times New Roman" w:hAnsi="Times New Roman" w:cs="Times New Roman"/>
          <w:sz w:val="24"/>
          <w:szCs w:val="24"/>
        </w:rPr>
        <w:t xml:space="preserve"> </w:t>
      </w:r>
      <w:r w:rsidR="00FD1A0E">
        <w:rPr>
          <w:rFonts w:ascii="Times New Roman" w:hAnsi="Times New Roman" w:cs="Times New Roman"/>
          <w:sz w:val="24"/>
          <w:szCs w:val="24"/>
        </w:rPr>
        <w:tab/>
      </w:r>
      <w:r w:rsidR="00FD1A0E" w:rsidRPr="00FD1A0E">
        <w:rPr>
          <w:rFonts w:ascii="Times New Roman" w:hAnsi="Times New Roman" w:cs="Times New Roman"/>
          <w:sz w:val="24"/>
          <w:szCs w:val="24"/>
        </w:rPr>
        <w:t>The terms of the agreement of sale were that:</w:t>
      </w:r>
    </w:p>
    <w:p w:rsidR="00FD1A0E" w:rsidRPr="00FD1A0E" w:rsidRDefault="00983DD9" w:rsidP="00FD1A0E">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D1A0E" w:rsidRPr="00FD1A0E">
        <w:rPr>
          <w:rFonts w:ascii="Times New Roman" w:hAnsi="Times New Roman" w:cs="Times New Roman"/>
          <w:sz w:val="24"/>
          <w:szCs w:val="24"/>
        </w:rPr>
        <w:t>he applicant retained the option to repurchase the property from the first respondent provided it exercised the same on or before 20 December, 2017 – and</w:t>
      </w:r>
    </w:p>
    <w:p w:rsidR="00FD1A0E" w:rsidRPr="00FD1A0E" w:rsidRDefault="00983DD9" w:rsidP="00FD1A0E">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FD1A0E" w:rsidRPr="00FD1A0E">
        <w:rPr>
          <w:rFonts w:ascii="Times New Roman" w:hAnsi="Times New Roman" w:cs="Times New Roman"/>
          <w:sz w:val="24"/>
          <w:szCs w:val="24"/>
        </w:rPr>
        <w:t>pon exercise of the buy-back option, the applicant would be liable for payment of capital gains tax together with all the related transfer costs.</w:t>
      </w:r>
    </w:p>
    <w:p w:rsidR="002E6BD7" w:rsidRDefault="002E6BD7" w:rsidP="002E6BD7">
      <w:pPr>
        <w:spacing w:after="0" w:line="240" w:lineRule="auto"/>
        <w:jc w:val="both"/>
        <w:rPr>
          <w:rFonts w:ascii="Times New Roman" w:hAnsi="Times New Roman" w:cs="Times New Roman"/>
          <w:sz w:val="24"/>
          <w:szCs w:val="24"/>
        </w:rPr>
      </w:pPr>
    </w:p>
    <w:p w:rsidR="00FD1A0E" w:rsidRDefault="00FD1A0E" w:rsidP="00FD1A0E">
      <w:pPr>
        <w:spacing w:after="0" w:line="360" w:lineRule="auto"/>
        <w:jc w:val="both"/>
        <w:rPr>
          <w:rFonts w:ascii="Times New Roman" w:hAnsi="Times New Roman" w:cs="Times New Roman"/>
          <w:sz w:val="24"/>
          <w:szCs w:val="24"/>
        </w:rPr>
      </w:pPr>
      <w:r w:rsidRPr="00FD1A0E">
        <w:rPr>
          <w:rFonts w:ascii="Times New Roman" w:hAnsi="Times New Roman" w:cs="Times New Roman"/>
          <w:sz w:val="24"/>
          <w:szCs w:val="24"/>
        </w:rPr>
        <w:tab/>
        <w:t xml:space="preserve">On 20 December, 2017 the applicant and the first respondent executed an addendum. This extended the period of the buy-back option which the first respondent availed to the applicant </w:t>
      </w:r>
      <w:r>
        <w:rPr>
          <w:rFonts w:ascii="Times New Roman" w:hAnsi="Times New Roman" w:cs="Times New Roman"/>
          <w:sz w:val="24"/>
          <w:szCs w:val="24"/>
        </w:rPr>
        <w:t>from 20 December, 2017 t</w:t>
      </w:r>
      <w:r w:rsidRPr="00FD1A0E">
        <w:rPr>
          <w:rFonts w:ascii="Times New Roman" w:hAnsi="Times New Roman" w:cs="Times New Roman"/>
          <w:sz w:val="24"/>
          <w:szCs w:val="24"/>
        </w:rPr>
        <w:t>o</w:t>
      </w:r>
      <w:r>
        <w:rPr>
          <w:rFonts w:ascii="Times New Roman" w:hAnsi="Times New Roman" w:cs="Times New Roman"/>
          <w:sz w:val="24"/>
          <w:szCs w:val="24"/>
        </w:rPr>
        <w:t xml:space="preserve"> </w:t>
      </w:r>
      <w:r w:rsidRPr="00FD1A0E">
        <w:rPr>
          <w:rFonts w:ascii="Times New Roman" w:hAnsi="Times New Roman" w:cs="Times New Roman"/>
          <w:sz w:val="24"/>
          <w:szCs w:val="24"/>
        </w:rPr>
        <w:t>28 February, 2</w:t>
      </w:r>
      <w:r w:rsidR="00163F43">
        <w:rPr>
          <w:rFonts w:ascii="Times New Roman" w:hAnsi="Times New Roman" w:cs="Times New Roman"/>
          <w:sz w:val="24"/>
          <w:szCs w:val="24"/>
        </w:rPr>
        <w:t>0</w:t>
      </w:r>
      <w:r w:rsidRPr="00FD1A0E">
        <w:rPr>
          <w:rFonts w:ascii="Times New Roman" w:hAnsi="Times New Roman" w:cs="Times New Roman"/>
          <w:sz w:val="24"/>
          <w:szCs w:val="24"/>
        </w:rPr>
        <w:t>18.</w:t>
      </w:r>
    </w:p>
    <w:p w:rsidR="00163F43" w:rsidRDefault="00163F43" w:rsidP="00FD1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Five days before the expiration of the period of the buy-back option</w:t>
      </w:r>
      <w:r w:rsidR="001055AD">
        <w:rPr>
          <w:rFonts w:ascii="Times New Roman" w:hAnsi="Times New Roman" w:cs="Times New Roman"/>
          <w:sz w:val="24"/>
          <w:szCs w:val="24"/>
        </w:rPr>
        <w:t>, t</w:t>
      </w:r>
      <w:r>
        <w:rPr>
          <w:rFonts w:ascii="Times New Roman" w:hAnsi="Times New Roman" w:cs="Times New Roman"/>
          <w:sz w:val="24"/>
          <w:szCs w:val="24"/>
        </w:rPr>
        <w:t xml:space="preserve">he first respondent, with the consent of the applicant, sold the property to Chamber of Mines Pension Enhancement Fund (“the </w:t>
      </w:r>
      <w:r w:rsidR="001055AD">
        <w:rPr>
          <w:rFonts w:ascii="Times New Roman" w:hAnsi="Times New Roman" w:cs="Times New Roman"/>
          <w:sz w:val="24"/>
          <w:szCs w:val="24"/>
        </w:rPr>
        <w:t>F</w:t>
      </w:r>
      <w:r>
        <w:rPr>
          <w:rFonts w:ascii="Times New Roman" w:hAnsi="Times New Roman" w:cs="Times New Roman"/>
          <w:sz w:val="24"/>
          <w:szCs w:val="24"/>
        </w:rPr>
        <w:t xml:space="preserve">und”) for the sum of $5 986 600. It was the understanding of the first respondent and the applicant that the latter exercised its buy-back option through the </w:t>
      </w:r>
      <w:r w:rsidR="001055AD">
        <w:rPr>
          <w:rFonts w:ascii="Times New Roman" w:hAnsi="Times New Roman" w:cs="Times New Roman"/>
          <w:sz w:val="24"/>
          <w:szCs w:val="24"/>
        </w:rPr>
        <w:t>F</w:t>
      </w:r>
      <w:r>
        <w:rPr>
          <w:rFonts w:ascii="Times New Roman" w:hAnsi="Times New Roman" w:cs="Times New Roman"/>
          <w:sz w:val="24"/>
          <w:szCs w:val="24"/>
        </w:rPr>
        <w:t>und.</w:t>
      </w:r>
    </w:p>
    <w:p w:rsidR="00163F43" w:rsidRDefault="00163F43" w:rsidP="00FD1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 and the first respondent agreed between them that:</w:t>
      </w:r>
    </w:p>
    <w:p w:rsidR="00163F43" w:rsidRDefault="00983DD9" w:rsidP="00163F43">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163F43">
        <w:rPr>
          <w:rFonts w:ascii="Times New Roman" w:hAnsi="Times New Roman" w:cs="Times New Roman"/>
          <w:sz w:val="24"/>
          <w:szCs w:val="24"/>
        </w:rPr>
        <w:t xml:space="preserve">rom the purchase price of $5 986 600, the </w:t>
      </w:r>
      <w:r w:rsidR="001055AD">
        <w:rPr>
          <w:rFonts w:ascii="Times New Roman" w:hAnsi="Times New Roman" w:cs="Times New Roman"/>
          <w:sz w:val="24"/>
          <w:szCs w:val="24"/>
        </w:rPr>
        <w:t>F</w:t>
      </w:r>
      <w:r w:rsidR="00163F43">
        <w:rPr>
          <w:rFonts w:ascii="Times New Roman" w:hAnsi="Times New Roman" w:cs="Times New Roman"/>
          <w:sz w:val="24"/>
          <w:szCs w:val="24"/>
        </w:rPr>
        <w:t xml:space="preserve">und would pay to the first </w:t>
      </w:r>
      <w:r w:rsidR="00BA1BEF">
        <w:rPr>
          <w:rFonts w:ascii="Times New Roman" w:hAnsi="Times New Roman" w:cs="Times New Roman"/>
          <w:sz w:val="24"/>
          <w:szCs w:val="24"/>
        </w:rPr>
        <w:t>respondent’s</w:t>
      </w:r>
      <w:r w:rsidR="00163F43">
        <w:rPr>
          <w:rFonts w:ascii="Times New Roman" w:hAnsi="Times New Roman" w:cs="Times New Roman"/>
          <w:sz w:val="24"/>
          <w:szCs w:val="24"/>
        </w:rPr>
        <w:t xml:space="preserve"> conveyancers the sum of $2 052 258.30 which they would hold in trust for the applicant and from which </w:t>
      </w:r>
      <w:r w:rsidR="00BA1BEF">
        <w:rPr>
          <w:rFonts w:ascii="Times New Roman" w:hAnsi="Times New Roman" w:cs="Times New Roman"/>
          <w:sz w:val="24"/>
          <w:szCs w:val="24"/>
        </w:rPr>
        <w:t xml:space="preserve">they would effect, among other </w:t>
      </w:r>
      <w:r w:rsidR="001055AD">
        <w:rPr>
          <w:rFonts w:ascii="Times New Roman" w:hAnsi="Times New Roman" w:cs="Times New Roman"/>
          <w:sz w:val="24"/>
          <w:szCs w:val="24"/>
        </w:rPr>
        <w:t>matters</w:t>
      </w:r>
      <w:r w:rsidR="00754EE4">
        <w:rPr>
          <w:rFonts w:ascii="Times New Roman" w:hAnsi="Times New Roman" w:cs="Times New Roman"/>
          <w:sz w:val="24"/>
          <w:szCs w:val="24"/>
        </w:rPr>
        <w:t>,</w:t>
      </w:r>
      <w:r w:rsidR="00BA1BEF">
        <w:rPr>
          <w:rFonts w:ascii="Times New Roman" w:hAnsi="Times New Roman" w:cs="Times New Roman"/>
          <w:sz w:val="24"/>
          <w:szCs w:val="24"/>
        </w:rPr>
        <w:t xml:space="preserve"> the following disbursements:</w:t>
      </w:r>
    </w:p>
    <w:p w:rsidR="00BA1BEF" w:rsidRDefault="00983DD9" w:rsidP="00BA1BEF">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A1BEF">
        <w:rPr>
          <w:rFonts w:ascii="Times New Roman" w:hAnsi="Times New Roman" w:cs="Times New Roman"/>
          <w:sz w:val="24"/>
          <w:szCs w:val="24"/>
        </w:rPr>
        <w:t>he tax amount which is due to ZIMRA in respect of capital gains tax (CGT) or value added tax (VAT) whichever is applicable – and</w:t>
      </w:r>
    </w:p>
    <w:p w:rsidR="00BA1BEF" w:rsidRDefault="00983DD9" w:rsidP="00BA1BEF">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BA1BEF">
        <w:rPr>
          <w:rFonts w:ascii="Times New Roman" w:hAnsi="Times New Roman" w:cs="Times New Roman"/>
          <w:sz w:val="24"/>
          <w:szCs w:val="24"/>
        </w:rPr>
        <w:t>ny other agreed amounts due to the first respondent from the applicant.</w:t>
      </w:r>
    </w:p>
    <w:p w:rsidR="00BA1BEF" w:rsidRDefault="00983DD9" w:rsidP="00163F43">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A1BEF">
        <w:rPr>
          <w:rFonts w:ascii="Times New Roman" w:hAnsi="Times New Roman" w:cs="Times New Roman"/>
          <w:sz w:val="24"/>
          <w:szCs w:val="24"/>
        </w:rPr>
        <w:t>he amount of $3 934 341.70 would immediately be released to the first respondent – and</w:t>
      </w:r>
    </w:p>
    <w:p w:rsidR="00BA1BEF" w:rsidRDefault="00983DD9" w:rsidP="002E6BD7">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A1BEF">
        <w:rPr>
          <w:rFonts w:ascii="Times New Roman" w:hAnsi="Times New Roman" w:cs="Times New Roman"/>
          <w:sz w:val="24"/>
          <w:szCs w:val="24"/>
        </w:rPr>
        <w:t>he outstanding balance would be paid by the first respondent’s conveyancers to the applicant.</w:t>
      </w:r>
    </w:p>
    <w:p w:rsidR="00BA1BEF" w:rsidRDefault="00BA1BEF" w:rsidP="002E6BD7">
      <w:pPr>
        <w:spacing w:after="0" w:line="240" w:lineRule="auto"/>
        <w:jc w:val="both"/>
        <w:rPr>
          <w:rFonts w:ascii="Times New Roman" w:hAnsi="Times New Roman" w:cs="Times New Roman"/>
          <w:sz w:val="24"/>
          <w:szCs w:val="24"/>
        </w:rPr>
      </w:pPr>
    </w:p>
    <w:p w:rsidR="00BA1BEF" w:rsidRDefault="00BA1BEF" w:rsidP="002E6B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Problems started to surface when the second respondent, a statutory body, which is responsible for collecting taxes did, on 2</w:t>
      </w:r>
      <w:r w:rsidR="00C60118">
        <w:rPr>
          <w:rFonts w:ascii="Times New Roman" w:hAnsi="Times New Roman" w:cs="Times New Roman"/>
          <w:sz w:val="24"/>
          <w:szCs w:val="24"/>
        </w:rPr>
        <w:t>9</w:t>
      </w:r>
      <w:r>
        <w:rPr>
          <w:rFonts w:ascii="Times New Roman" w:hAnsi="Times New Roman" w:cs="Times New Roman"/>
          <w:sz w:val="24"/>
          <w:szCs w:val="24"/>
        </w:rPr>
        <w:t xml:space="preserve"> March 2018, assess the first respondent’s tax liability and demanded from it payment of both capital gains tax and value added tax. The first respondent pushed the entire burden upon the applicant. It instructed its conveyancers to pay both taxes from the sum which they held in t</w:t>
      </w:r>
      <w:r w:rsidR="00C60118">
        <w:rPr>
          <w:rFonts w:ascii="Times New Roman" w:hAnsi="Times New Roman" w:cs="Times New Roman"/>
          <w:sz w:val="24"/>
          <w:szCs w:val="24"/>
        </w:rPr>
        <w:t>rust</w:t>
      </w:r>
      <w:r>
        <w:rPr>
          <w:rFonts w:ascii="Times New Roman" w:hAnsi="Times New Roman" w:cs="Times New Roman"/>
          <w:sz w:val="24"/>
          <w:szCs w:val="24"/>
        </w:rPr>
        <w:t xml:space="preserve"> for the applicant.</w:t>
      </w:r>
    </w:p>
    <w:p w:rsidR="00BA1BEF" w:rsidRDefault="00BA1BEF" w:rsidP="002E6B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conveyancers complied with </w:t>
      </w:r>
      <w:r w:rsidR="00D0280F">
        <w:rPr>
          <w:rFonts w:ascii="Times New Roman" w:hAnsi="Times New Roman" w:cs="Times New Roman"/>
          <w:sz w:val="24"/>
          <w:szCs w:val="24"/>
        </w:rPr>
        <w:t>the instruction of the first respondent. They paid the following sums to the second respondent:</w:t>
      </w:r>
    </w:p>
    <w:p w:rsidR="00D0280F" w:rsidRDefault="00C60118" w:rsidP="00D0280F">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D0280F">
        <w:rPr>
          <w:rFonts w:ascii="Times New Roman" w:hAnsi="Times New Roman" w:cs="Times New Roman"/>
          <w:sz w:val="24"/>
          <w:szCs w:val="24"/>
        </w:rPr>
        <w:t xml:space="preserve">apital gains tax of $346 548.79 </w:t>
      </w:r>
      <w:r>
        <w:rPr>
          <w:rFonts w:ascii="Times New Roman" w:hAnsi="Times New Roman" w:cs="Times New Roman"/>
          <w:sz w:val="24"/>
          <w:szCs w:val="24"/>
        </w:rPr>
        <w:t xml:space="preserve">- </w:t>
      </w:r>
      <w:r w:rsidR="00D0280F">
        <w:rPr>
          <w:rFonts w:ascii="Times New Roman" w:hAnsi="Times New Roman" w:cs="Times New Roman"/>
          <w:sz w:val="24"/>
          <w:szCs w:val="24"/>
        </w:rPr>
        <w:t xml:space="preserve">and </w:t>
      </w:r>
    </w:p>
    <w:p w:rsidR="00D0280F" w:rsidRDefault="00C60118" w:rsidP="002E6BD7">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D0280F">
        <w:rPr>
          <w:rFonts w:ascii="Times New Roman" w:hAnsi="Times New Roman" w:cs="Times New Roman"/>
          <w:sz w:val="24"/>
          <w:szCs w:val="24"/>
        </w:rPr>
        <w:t>alue added tax of $780 860.87.</w:t>
      </w:r>
    </w:p>
    <w:p w:rsidR="00D0280F" w:rsidRDefault="00D0280F" w:rsidP="002E6BD7">
      <w:pPr>
        <w:spacing w:after="0" w:line="240" w:lineRule="auto"/>
        <w:jc w:val="both"/>
        <w:rPr>
          <w:rFonts w:ascii="Times New Roman" w:hAnsi="Times New Roman" w:cs="Times New Roman"/>
          <w:sz w:val="24"/>
          <w:szCs w:val="24"/>
        </w:rPr>
      </w:pPr>
    </w:p>
    <w:p w:rsidR="00D0280F" w:rsidRDefault="00D0280F" w:rsidP="002E6B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payment of both taxes </w:t>
      </w:r>
      <w:r w:rsidR="00C60118">
        <w:rPr>
          <w:rFonts w:ascii="Times New Roman" w:hAnsi="Times New Roman" w:cs="Times New Roman"/>
          <w:sz w:val="24"/>
          <w:szCs w:val="24"/>
        </w:rPr>
        <w:t xml:space="preserve">from the money which the first respondent’s conveyancers held in trust for </w:t>
      </w:r>
      <w:r>
        <w:rPr>
          <w:rFonts w:ascii="Times New Roman" w:hAnsi="Times New Roman" w:cs="Times New Roman"/>
          <w:sz w:val="24"/>
          <w:szCs w:val="24"/>
        </w:rPr>
        <w:t xml:space="preserve">the applicant constitutes the latter’s cause of action. It takes exception </w:t>
      </w:r>
      <w:r w:rsidR="00983DD9">
        <w:rPr>
          <w:rFonts w:ascii="Times New Roman" w:hAnsi="Times New Roman" w:cs="Times New Roman"/>
          <w:sz w:val="24"/>
          <w:szCs w:val="24"/>
        </w:rPr>
        <w:t>to</w:t>
      </w:r>
      <w:r>
        <w:rPr>
          <w:rFonts w:ascii="Times New Roman" w:hAnsi="Times New Roman" w:cs="Times New Roman"/>
          <w:sz w:val="24"/>
          <w:szCs w:val="24"/>
        </w:rPr>
        <w:t xml:space="preserve"> the payment by the first respondent of the attached value added tax. It states that the first respondent</w:t>
      </w:r>
      <w:r w:rsidR="00B74A5A">
        <w:rPr>
          <w:rFonts w:ascii="Times New Roman" w:hAnsi="Times New Roman" w:cs="Times New Roman"/>
          <w:sz w:val="24"/>
          <w:szCs w:val="24"/>
        </w:rPr>
        <w:t>,</w:t>
      </w:r>
      <w:r>
        <w:rPr>
          <w:rFonts w:ascii="Times New Roman" w:hAnsi="Times New Roman" w:cs="Times New Roman"/>
          <w:sz w:val="24"/>
          <w:szCs w:val="24"/>
        </w:rPr>
        <w:t xml:space="preserve"> as a financial services </w:t>
      </w:r>
      <w:r w:rsidR="00947611">
        <w:rPr>
          <w:rFonts w:ascii="Times New Roman" w:hAnsi="Times New Roman" w:cs="Times New Roman"/>
          <w:sz w:val="24"/>
          <w:szCs w:val="24"/>
        </w:rPr>
        <w:t>provider</w:t>
      </w:r>
      <w:r w:rsidR="00A016C6">
        <w:rPr>
          <w:rFonts w:ascii="Times New Roman" w:hAnsi="Times New Roman" w:cs="Times New Roman"/>
          <w:sz w:val="24"/>
          <w:szCs w:val="24"/>
        </w:rPr>
        <w:t>,</w:t>
      </w:r>
      <w:r>
        <w:rPr>
          <w:rFonts w:ascii="Times New Roman" w:hAnsi="Times New Roman" w:cs="Times New Roman"/>
          <w:sz w:val="24"/>
          <w:szCs w:val="24"/>
        </w:rPr>
        <w:t xml:space="preserve"> was / is not legally liable to pay value added tax. It insists that, in terms of its agreement with the first respondent</w:t>
      </w:r>
      <w:r w:rsidR="00C60118">
        <w:rPr>
          <w:rFonts w:ascii="Times New Roman" w:hAnsi="Times New Roman" w:cs="Times New Roman"/>
          <w:sz w:val="24"/>
          <w:szCs w:val="24"/>
        </w:rPr>
        <w:t>,</w:t>
      </w:r>
      <w:r>
        <w:rPr>
          <w:rFonts w:ascii="Times New Roman" w:hAnsi="Times New Roman" w:cs="Times New Roman"/>
          <w:sz w:val="24"/>
          <w:szCs w:val="24"/>
        </w:rPr>
        <w:t xml:space="preserve"> it is only liable to pay either capital gains tax or value added tax and not both taxes. It avers that the first respondent should not have instructed its conveyancers to pay value added tax when</w:t>
      </w:r>
      <w:r w:rsidR="00983DD9">
        <w:rPr>
          <w:rFonts w:ascii="Times New Roman" w:hAnsi="Times New Roman" w:cs="Times New Roman"/>
          <w:sz w:val="24"/>
          <w:szCs w:val="24"/>
        </w:rPr>
        <w:t xml:space="preserve"> </w:t>
      </w:r>
      <w:r>
        <w:rPr>
          <w:rFonts w:ascii="Times New Roman" w:hAnsi="Times New Roman" w:cs="Times New Roman"/>
          <w:sz w:val="24"/>
          <w:szCs w:val="24"/>
        </w:rPr>
        <w:t xml:space="preserve">it was aware that its status as a financial services provider exempted it from paying that tax. Its position is that the first respondent is </w:t>
      </w:r>
      <w:r w:rsidR="003F7B1C">
        <w:rPr>
          <w:rFonts w:ascii="Times New Roman" w:hAnsi="Times New Roman" w:cs="Times New Roman"/>
          <w:sz w:val="24"/>
          <w:szCs w:val="24"/>
        </w:rPr>
        <w:t>not</w:t>
      </w:r>
      <w:r>
        <w:rPr>
          <w:rFonts w:ascii="Times New Roman" w:hAnsi="Times New Roman" w:cs="Times New Roman"/>
          <w:sz w:val="24"/>
          <w:szCs w:val="24"/>
        </w:rPr>
        <w:t xml:space="preserve"> registered for value added tax. It moves the court to declare the levying of value added tax against the first </w:t>
      </w:r>
      <w:r w:rsidR="00620A19">
        <w:rPr>
          <w:rFonts w:ascii="Times New Roman" w:hAnsi="Times New Roman" w:cs="Times New Roman"/>
          <w:sz w:val="24"/>
          <w:szCs w:val="24"/>
        </w:rPr>
        <w:t>respondent</w:t>
      </w:r>
      <w:r>
        <w:rPr>
          <w:rFonts w:ascii="Times New Roman" w:hAnsi="Times New Roman" w:cs="Times New Roman"/>
          <w:sz w:val="24"/>
          <w:szCs w:val="24"/>
        </w:rPr>
        <w:t xml:space="preserve"> to be in violation of s 11 (a) of the Value Added Tax Act and, therefore, unlawful and to direct the first respondent to reimburse to it the sum </w:t>
      </w:r>
      <w:r>
        <w:rPr>
          <w:rFonts w:ascii="Times New Roman" w:hAnsi="Times New Roman" w:cs="Times New Roman"/>
          <w:sz w:val="24"/>
          <w:szCs w:val="24"/>
        </w:rPr>
        <w:lastRenderedPageBreak/>
        <w:t>which the first respondent caused to be paid to the second respondent as value added tax. It couched its draft order in the following terms:</w:t>
      </w:r>
    </w:p>
    <w:p w:rsidR="00D0280F" w:rsidRDefault="00D0280F" w:rsidP="00D028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7B1C">
        <w:rPr>
          <w:rFonts w:ascii="Times New Roman" w:hAnsi="Times New Roman" w:cs="Times New Roman"/>
          <w:sz w:val="24"/>
          <w:szCs w:val="24"/>
        </w:rPr>
        <w:t>“</w:t>
      </w:r>
      <w:r>
        <w:rPr>
          <w:rFonts w:ascii="Times New Roman" w:hAnsi="Times New Roman" w:cs="Times New Roman"/>
          <w:sz w:val="24"/>
          <w:szCs w:val="24"/>
        </w:rPr>
        <w:t>It is hereby ordered as follows:</w:t>
      </w:r>
    </w:p>
    <w:p w:rsidR="00D0280F" w:rsidRDefault="00D0280F" w:rsidP="00D0280F">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value added tax assessment rendered by the 2</w:t>
      </w:r>
      <w:r w:rsidRPr="00D0280F">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3F7B1C">
        <w:rPr>
          <w:rFonts w:ascii="Times New Roman" w:hAnsi="Times New Roman" w:cs="Times New Roman"/>
          <w:sz w:val="24"/>
          <w:szCs w:val="24"/>
        </w:rPr>
        <w:t>R</w:t>
      </w:r>
      <w:r>
        <w:rPr>
          <w:rFonts w:ascii="Times New Roman" w:hAnsi="Times New Roman" w:cs="Times New Roman"/>
          <w:sz w:val="24"/>
          <w:szCs w:val="24"/>
        </w:rPr>
        <w:t>espondent against the 1</w:t>
      </w:r>
      <w:r w:rsidRPr="00D0280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3F7B1C">
        <w:rPr>
          <w:rFonts w:ascii="Times New Roman" w:hAnsi="Times New Roman" w:cs="Times New Roman"/>
          <w:sz w:val="24"/>
          <w:szCs w:val="24"/>
        </w:rPr>
        <w:t>R</w:t>
      </w:r>
      <w:r>
        <w:rPr>
          <w:rFonts w:ascii="Times New Roman" w:hAnsi="Times New Roman" w:cs="Times New Roman"/>
          <w:sz w:val="24"/>
          <w:szCs w:val="24"/>
        </w:rPr>
        <w:t>espondent for value added tax be and is hereby declared unlawful.</w:t>
      </w:r>
    </w:p>
    <w:p w:rsidR="00D0280F" w:rsidRDefault="00D0280F" w:rsidP="00D0280F">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D0280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3F7B1C">
        <w:rPr>
          <w:rFonts w:ascii="Times New Roman" w:hAnsi="Times New Roman" w:cs="Times New Roman"/>
          <w:sz w:val="24"/>
          <w:szCs w:val="24"/>
        </w:rPr>
        <w:t>R</w:t>
      </w:r>
      <w:r>
        <w:rPr>
          <w:rFonts w:ascii="Times New Roman" w:hAnsi="Times New Roman" w:cs="Times New Roman"/>
          <w:sz w:val="24"/>
          <w:szCs w:val="24"/>
        </w:rPr>
        <w:t xml:space="preserve">espondent be and is hereby ordered to refund the full amount of $780 </w:t>
      </w:r>
      <w:r w:rsidR="00620A19">
        <w:rPr>
          <w:rFonts w:ascii="Times New Roman" w:hAnsi="Times New Roman" w:cs="Times New Roman"/>
          <w:sz w:val="24"/>
          <w:szCs w:val="24"/>
        </w:rPr>
        <w:t>860.87 to the applicant, or alternatively the 1</w:t>
      </w:r>
      <w:r w:rsidR="00620A19" w:rsidRPr="00620A19">
        <w:rPr>
          <w:rFonts w:ascii="Times New Roman" w:hAnsi="Times New Roman" w:cs="Times New Roman"/>
          <w:sz w:val="24"/>
          <w:szCs w:val="24"/>
          <w:vertAlign w:val="superscript"/>
        </w:rPr>
        <w:t>st</w:t>
      </w:r>
      <w:r w:rsidR="00620A19">
        <w:rPr>
          <w:rFonts w:ascii="Times New Roman" w:hAnsi="Times New Roman" w:cs="Times New Roman"/>
          <w:sz w:val="24"/>
          <w:szCs w:val="24"/>
        </w:rPr>
        <w:t xml:space="preserve"> and 2</w:t>
      </w:r>
      <w:r w:rsidR="00620A19" w:rsidRPr="00620A19">
        <w:rPr>
          <w:rFonts w:ascii="Times New Roman" w:hAnsi="Times New Roman" w:cs="Times New Roman"/>
          <w:sz w:val="24"/>
          <w:szCs w:val="24"/>
          <w:vertAlign w:val="superscript"/>
        </w:rPr>
        <w:t>nd</w:t>
      </w:r>
      <w:r w:rsidR="00620A19">
        <w:rPr>
          <w:rFonts w:ascii="Times New Roman" w:hAnsi="Times New Roman" w:cs="Times New Roman"/>
          <w:sz w:val="24"/>
          <w:szCs w:val="24"/>
        </w:rPr>
        <w:t xml:space="preserve"> </w:t>
      </w:r>
      <w:r w:rsidR="003F7B1C">
        <w:rPr>
          <w:rFonts w:ascii="Times New Roman" w:hAnsi="Times New Roman" w:cs="Times New Roman"/>
          <w:sz w:val="24"/>
          <w:szCs w:val="24"/>
        </w:rPr>
        <w:t>R</w:t>
      </w:r>
      <w:r w:rsidR="00620A19">
        <w:rPr>
          <w:rFonts w:ascii="Times New Roman" w:hAnsi="Times New Roman" w:cs="Times New Roman"/>
          <w:sz w:val="24"/>
          <w:szCs w:val="24"/>
        </w:rPr>
        <w:t xml:space="preserve">espondents be and are hereby </w:t>
      </w:r>
      <w:r w:rsidR="003F7B1C">
        <w:rPr>
          <w:rFonts w:ascii="Times New Roman" w:hAnsi="Times New Roman" w:cs="Times New Roman"/>
          <w:sz w:val="24"/>
          <w:szCs w:val="24"/>
        </w:rPr>
        <w:t>ordered to refund the applicant</w:t>
      </w:r>
      <w:r w:rsidR="00620A19">
        <w:rPr>
          <w:rFonts w:ascii="Times New Roman" w:hAnsi="Times New Roman" w:cs="Times New Roman"/>
          <w:sz w:val="24"/>
          <w:szCs w:val="24"/>
        </w:rPr>
        <w:t xml:space="preserve"> </w:t>
      </w:r>
      <w:r w:rsidR="003F7B1C">
        <w:rPr>
          <w:rFonts w:ascii="Times New Roman" w:hAnsi="Times New Roman" w:cs="Times New Roman"/>
          <w:sz w:val="24"/>
          <w:szCs w:val="24"/>
        </w:rPr>
        <w:t>t</w:t>
      </w:r>
      <w:r w:rsidR="00620A19">
        <w:rPr>
          <w:rFonts w:ascii="Times New Roman" w:hAnsi="Times New Roman" w:cs="Times New Roman"/>
          <w:sz w:val="24"/>
          <w:szCs w:val="24"/>
        </w:rPr>
        <w:t>he full amount of $780 860.87</w:t>
      </w:r>
      <w:r w:rsidR="003F7B1C">
        <w:rPr>
          <w:rFonts w:ascii="Times New Roman" w:hAnsi="Times New Roman" w:cs="Times New Roman"/>
          <w:sz w:val="24"/>
          <w:szCs w:val="24"/>
        </w:rPr>
        <w:t>,</w:t>
      </w:r>
      <w:r w:rsidR="00620A19">
        <w:rPr>
          <w:rFonts w:ascii="Times New Roman" w:hAnsi="Times New Roman" w:cs="Times New Roman"/>
          <w:sz w:val="24"/>
          <w:szCs w:val="24"/>
        </w:rPr>
        <w:t xml:space="preserve"> jointly and severally, the one paying the other to be absolved.</w:t>
      </w:r>
    </w:p>
    <w:p w:rsidR="00620A19" w:rsidRPr="00D0280F" w:rsidRDefault="00620A19" w:rsidP="002E6BD7">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1</w:t>
      </w:r>
      <w:r w:rsidRPr="00620A19">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3F7B1C">
        <w:rPr>
          <w:rFonts w:ascii="Times New Roman" w:hAnsi="Times New Roman" w:cs="Times New Roman"/>
          <w:sz w:val="24"/>
          <w:szCs w:val="24"/>
        </w:rPr>
        <w:t>R</w:t>
      </w:r>
      <w:r>
        <w:rPr>
          <w:rFonts w:ascii="Times New Roman" w:hAnsi="Times New Roman" w:cs="Times New Roman"/>
          <w:sz w:val="24"/>
          <w:szCs w:val="24"/>
        </w:rPr>
        <w:t>espondent shall pay the costs of suit on an attorney-client scale.”</w:t>
      </w:r>
    </w:p>
    <w:p w:rsidR="00BA1BEF" w:rsidRPr="00163F43" w:rsidRDefault="00BA1BEF" w:rsidP="002E6BD7">
      <w:pPr>
        <w:pStyle w:val="ListParagraph"/>
        <w:spacing w:after="0" w:line="240" w:lineRule="auto"/>
        <w:ind w:left="1440"/>
        <w:jc w:val="both"/>
        <w:rPr>
          <w:rFonts w:ascii="Times New Roman" w:hAnsi="Times New Roman" w:cs="Times New Roman"/>
          <w:sz w:val="24"/>
          <w:szCs w:val="24"/>
        </w:rPr>
      </w:pPr>
    </w:p>
    <w:p w:rsidR="00C96424" w:rsidRDefault="00983DD9" w:rsidP="002E6BD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023EF">
        <w:rPr>
          <w:rFonts w:ascii="Times New Roman" w:hAnsi="Times New Roman" w:cs="Times New Roman"/>
          <w:sz w:val="24"/>
          <w:szCs w:val="24"/>
        </w:rPr>
        <w:t>Both respondents filed notices of opposition to the application for a declaratory order. They filed Heads which support the</w:t>
      </w:r>
      <w:r w:rsidR="001E0621">
        <w:rPr>
          <w:rFonts w:ascii="Times New Roman" w:hAnsi="Times New Roman" w:cs="Times New Roman"/>
          <w:sz w:val="24"/>
          <w:szCs w:val="24"/>
        </w:rPr>
        <w:t>ir respective</w:t>
      </w:r>
      <w:r w:rsidR="00A023EF">
        <w:rPr>
          <w:rFonts w:ascii="Times New Roman" w:hAnsi="Times New Roman" w:cs="Times New Roman"/>
          <w:sz w:val="24"/>
          <w:szCs w:val="24"/>
        </w:rPr>
        <w:t xml:space="preserve"> position</w:t>
      </w:r>
      <w:r w:rsidR="001E0621">
        <w:rPr>
          <w:rFonts w:ascii="Times New Roman" w:hAnsi="Times New Roman" w:cs="Times New Roman"/>
          <w:sz w:val="24"/>
          <w:szCs w:val="24"/>
        </w:rPr>
        <w:t>s</w:t>
      </w:r>
      <w:r w:rsidR="00A023EF">
        <w:rPr>
          <w:rFonts w:ascii="Times New Roman" w:hAnsi="Times New Roman" w:cs="Times New Roman"/>
          <w:sz w:val="24"/>
          <w:szCs w:val="24"/>
        </w:rPr>
        <w:t xml:space="preserve"> </w:t>
      </w:r>
      <w:r w:rsidR="001E0621">
        <w:rPr>
          <w:rFonts w:ascii="Times New Roman" w:hAnsi="Times New Roman" w:cs="Times New Roman"/>
          <w:sz w:val="24"/>
          <w:szCs w:val="24"/>
        </w:rPr>
        <w:t>in respect of the application</w:t>
      </w:r>
      <w:r w:rsidR="00A023EF">
        <w:rPr>
          <w:rFonts w:ascii="Times New Roman" w:hAnsi="Times New Roman" w:cs="Times New Roman"/>
          <w:sz w:val="24"/>
          <w:szCs w:val="24"/>
        </w:rPr>
        <w:t>.</w:t>
      </w:r>
    </w:p>
    <w:p w:rsidR="00D332E0" w:rsidRDefault="00A023EF" w:rsidP="002E6BD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All the parties received notices of </w:t>
      </w:r>
      <w:r w:rsidR="00930A05">
        <w:rPr>
          <w:rFonts w:ascii="Times New Roman" w:hAnsi="Times New Roman" w:cs="Times New Roman"/>
          <w:sz w:val="24"/>
          <w:szCs w:val="24"/>
        </w:rPr>
        <w:t>set down</w:t>
      </w:r>
      <w:r>
        <w:rPr>
          <w:rFonts w:ascii="Times New Roman" w:hAnsi="Times New Roman" w:cs="Times New Roman"/>
          <w:sz w:val="24"/>
          <w:szCs w:val="24"/>
        </w:rPr>
        <w:t xml:space="preserve"> of the application on 19 November, 2018. The application was set down for</w:t>
      </w:r>
      <w:r w:rsidR="00D332E0">
        <w:rPr>
          <w:rFonts w:ascii="Times New Roman" w:hAnsi="Times New Roman" w:cs="Times New Roman"/>
          <w:sz w:val="24"/>
          <w:szCs w:val="24"/>
        </w:rPr>
        <w:t xml:space="preserve"> 26 November 2018.</w:t>
      </w:r>
    </w:p>
    <w:p w:rsidR="00D332E0" w:rsidRDefault="00D332E0" w:rsidP="00D33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reasons which remain unknown to the court, the first respondent did not appea</w:t>
      </w:r>
      <w:r w:rsidR="00064A33">
        <w:rPr>
          <w:rFonts w:ascii="Times New Roman" w:hAnsi="Times New Roman" w:cs="Times New Roman"/>
          <w:sz w:val="24"/>
          <w:szCs w:val="24"/>
        </w:rPr>
        <w:t>r</w:t>
      </w:r>
      <w:r>
        <w:rPr>
          <w:rFonts w:ascii="Times New Roman" w:hAnsi="Times New Roman" w:cs="Times New Roman"/>
          <w:sz w:val="24"/>
          <w:szCs w:val="24"/>
        </w:rPr>
        <w:t xml:space="preserve"> at court on the mentioned date. It tendered no explanation for its non-appearance. It was</w:t>
      </w:r>
      <w:r w:rsidR="00064A33">
        <w:rPr>
          <w:rFonts w:ascii="Times New Roman" w:hAnsi="Times New Roman" w:cs="Times New Roman"/>
          <w:sz w:val="24"/>
          <w:szCs w:val="24"/>
        </w:rPr>
        <w:t>,</w:t>
      </w:r>
      <w:r>
        <w:rPr>
          <w:rFonts w:ascii="Times New Roman" w:hAnsi="Times New Roman" w:cs="Times New Roman"/>
          <w:sz w:val="24"/>
          <w:szCs w:val="24"/>
        </w:rPr>
        <w:t xml:space="preserve"> therefore, in default. Its default left the second respondent in the equation.</w:t>
      </w:r>
    </w:p>
    <w:p w:rsidR="00D332E0" w:rsidRDefault="00D332E0" w:rsidP="00D33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respondent’</w:t>
      </w:r>
      <w:r w:rsidR="00064A33">
        <w:rPr>
          <w:rFonts w:ascii="Times New Roman" w:hAnsi="Times New Roman" w:cs="Times New Roman"/>
          <w:sz w:val="24"/>
          <w:szCs w:val="24"/>
        </w:rPr>
        <w:t>s</w:t>
      </w:r>
      <w:r>
        <w:rPr>
          <w:rFonts w:ascii="Times New Roman" w:hAnsi="Times New Roman" w:cs="Times New Roman"/>
          <w:sz w:val="24"/>
          <w:szCs w:val="24"/>
        </w:rPr>
        <w:t xml:space="preserve"> statement is that the first respondent is registered for purposes of paying value added tax. The first respondent, it avers, applied for value added tax registration in 2007. It states that it was registered retrospectively with effect from 2005 in terms of s 23 (4</w:t>
      </w:r>
      <w:r w:rsidR="00B74A5A">
        <w:rPr>
          <w:rFonts w:ascii="Times New Roman" w:hAnsi="Times New Roman" w:cs="Times New Roman"/>
          <w:sz w:val="24"/>
          <w:szCs w:val="24"/>
        </w:rPr>
        <w:t>)</w:t>
      </w:r>
      <w:r>
        <w:rPr>
          <w:rFonts w:ascii="Times New Roman" w:hAnsi="Times New Roman" w:cs="Times New Roman"/>
          <w:sz w:val="24"/>
          <w:szCs w:val="24"/>
        </w:rPr>
        <w:t xml:space="preserve"> (a) of the Value Added Tax Act. the first respondent, it states, was/is, in addition to its financial services function, engaged in banc assurance business for which it receives a commission which is liable to value added tax. It avers that in September, 2017 the first respondent started the business of acquiring and di</w:t>
      </w:r>
      <w:r w:rsidR="00064A33">
        <w:rPr>
          <w:rFonts w:ascii="Times New Roman" w:hAnsi="Times New Roman" w:cs="Times New Roman"/>
          <w:sz w:val="24"/>
          <w:szCs w:val="24"/>
        </w:rPr>
        <w:t>sposing</w:t>
      </w:r>
      <w:r>
        <w:rPr>
          <w:rFonts w:ascii="Times New Roman" w:hAnsi="Times New Roman" w:cs="Times New Roman"/>
          <w:sz w:val="24"/>
          <w:szCs w:val="24"/>
        </w:rPr>
        <w:t xml:space="preserve"> of stands/immovable properties which activity was/is liable to value added tax. It insists that</w:t>
      </w:r>
      <w:r w:rsidR="00064A33">
        <w:rPr>
          <w:rFonts w:ascii="Times New Roman" w:hAnsi="Times New Roman" w:cs="Times New Roman"/>
          <w:sz w:val="24"/>
          <w:szCs w:val="24"/>
        </w:rPr>
        <w:t>,</w:t>
      </w:r>
      <w:r>
        <w:rPr>
          <w:rFonts w:ascii="Times New Roman" w:hAnsi="Times New Roman" w:cs="Times New Roman"/>
          <w:sz w:val="24"/>
          <w:szCs w:val="24"/>
        </w:rPr>
        <w:t xml:space="preserve"> as a registered operator for value added tax, the first respondent is liable to account for value added tax on the dispos</w:t>
      </w:r>
      <w:r w:rsidR="00064A33">
        <w:rPr>
          <w:rFonts w:ascii="Times New Roman" w:hAnsi="Times New Roman" w:cs="Times New Roman"/>
          <w:sz w:val="24"/>
          <w:szCs w:val="24"/>
        </w:rPr>
        <w:t>al</w:t>
      </w:r>
      <w:r>
        <w:rPr>
          <w:rFonts w:ascii="Times New Roman" w:hAnsi="Times New Roman" w:cs="Times New Roman"/>
          <w:sz w:val="24"/>
          <w:szCs w:val="24"/>
        </w:rPr>
        <w:t xml:space="preserve"> of the immovable property. The first respondent, according to it, is a registered operator which, apart from supplying exempt financial services, also carries out va</w:t>
      </w:r>
      <w:r w:rsidR="00064A33">
        <w:rPr>
          <w:rFonts w:ascii="Times New Roman" w:hAnsi="Times New Roman" w:cs="Times New Roman"/>
          <w:sz w:val="24"/>
          <w:szCs w:val="24"/>
        </w:rPr>
        <w:t>table b</w:t>
      </w:r>
      <w:r>
        <w:rPr>
          <w:rFonts w:ascii="Times New Roman" w:hAnsi="Times New Roman" w:cs="Times New Roman"/>
          <w:sz w:val="24"/>
          <w:szCs w:val="24"/>
        </w:rPr>
        <w:t>anc assurance and immovable property sales business on which it has been remitting value added tax. It insists that the applicant’s motion which is to the effect that the value added tax assessment which it made and imposed on the first respondent be declared unlawful is without any merit. It moves the court to dismiss the application with costs.</w:t>
      </w:r>
    </w:p>
    <w:p w:rsidR="00D332E0" w:rsidRDefault="00D332E0" w:rsidP="00D33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Applications for a declaratory order are filed in terms of s 14 of the High Court Act [</w:t>
      </w:r>
      <w:r w:rsidRPr="00CE30DA">
        <w:rPr>
          <w:rFonts w:ascii="Times New Roman" w:hAnsi="Times New Roman" w:cs="Times New Roman"/>
          <w:i/>
          <w:sz w:val="24"/>
          <w:szCs w:val="24"/>
        </w:rPr>
        <w:t>Chapter 7:06</w:t>
      </w:r>
      <w:r>
        <w:rPr>
          <w:rFonts w:ascii="Times New Roman" w:hAnsi="Times New Roman" w:cs="Times New Roman"/>
          <w:sz w:val="24"/>
          <w:szCs w:val="24"/>
        </w:rPr>
        <w:t xml:space="preserve">]. The section confers a discretion on the court to determine </w:t>
      </w:r>
      <w:r w:rsidR="0074659C">
        <w:rPr>
          <w:rFonts w:ascii="Times New Roman" w:hAnsi="Times New Roman" w:cs="Times New Roman"/>
          <w:sz w:val="24"/>
          <w:szCs w:val="24"/>
        </w:rPr>
        <w:t>existing</w:t>
      </w:r>
      <w:r w:rsidR="00A016C6">
        <w:rPr>
          <w:rFonts w:ascii="Times New Roman" w:hAnsi="Times New Roman" w:cs="Times New Roman"/>
          <w:sz w:val="24"/>
          <w:szCs w:val="24"/>
        </w:rPr>
        <w:t>,</w:t>
      </w:r>
      <w:r>
        <w:rPr>
          <w:rFonts w:ascii="Times New Roman" w:hAnsi="Times New Roman" w:cs="Times New Roman"/>
          <w:sz w:val="24"/>
          <w:szCs w:val="24"/>
        </w:rPr>
        <w:t xml:space="preserve"> future or contingent </w:t>
      </w:r>
      <w:r w:rsidR="0074659C">
        <w:rPr>
          <w:rFonts w:ascii="Times New Roman" w:hAnsi="Times New Roman" w:cs="Times New Roman"/>
          <w:sz w:val="24"/>
          <w:szCs w:val="24"/>
        </w:rPr>
        <w:t>rights.</w:t>
      </w:r>
      <w:r>
        <w:rPr>
          <w:rFonts w:ascii="Times New Roman" w:hAnsi="Times New Roman" w:cs="Times New Roman"/>
          <w:sz w:val="24"/>
          <w:szCs w:val="24"/>
        </w:rPr>
        <w:t xml:space="preserve"> The discretion must, in </w:t>
      </w:r>
      <w:r w:rsidR="00B74A5A">
        <w:rPr>
          <w:rFonts w:ascii="Times New Roman" w:hAnsi="Times New Roman" w:cs="Times New Roman"/>
          <w:sz w:val="24"/>
          <w:szCs w:val="24"/>
        </w:rPr>
        <w:t>m</w:t>
      </w:r>
      <w:r>
        <w:rPr>
          <w:rFonts w:ascii="Times New Roman" w:hAnsi="Times New Roman" w:cs="Times New Roman"/>
          <w:sz w:val="24"/>
          <w:szCs w:val="24"/>
        </w:rPr>
        <w:t>y view, be exercised judiciously.</w:t>
      </w:r>
    </w:p>
    <w:p w:rsidR="00D332E0" w:rsidRDefault="00D332E0" w:rsidP="00D33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section reads:</w:t>
      </w:r>
    </w:p>
    <w:p w:rsidR="00D332E0" w:rsidRDefault="00D332E0" w:rsidP="00D332E0">
      <w:pPr>
        <w:spacing w:after="0" w:line="240" w:lineRule="auto"/>
        <w:ind w:left="720" w:hanging="720"/>
        <w:jc w:val="both"/>
        <w:rPr>
          <w:rFonts w:ascii="Times New Roman" w:hAnsi="Times New Roman" w:cs="Times New Roman"/>
        </w:rPr>
      </w:pPr>
      <w:r>
        <w:rPr>
          <w:rFonts w:ascii="Times New Roman" w:hAnsi="Times New Roman" w:cs="Times New Roman"/>
          <w:sz w:val="24"/>
          <w:szCs w:val="24"/>
        </w:rPr>
        <w:tab/>
      </w:r>
      <w:r w:rsidRPr="00CE30DA">
        <w:rPr>
          <w:rFonts w:ascii="Times New Roman" w:hAnsi="Times New Roman" w:cs="Times New Roman"/>
        </w:rPr>
        <w:t>“14.</w:t>
      </w:r>
      <w:r w:rsidRPr="00CE30DA">
        <w:rPr>
          <w:rFonts w:ascii="Times New Roman" w:hAnsi="Times New Roman" w:cs="Times New Roman"/>
        </w:rPr>
        <w:tab/>
        <w:t>The High Court may, in its discretion, at the instance</w:t>
      </w:r>
      <w:r>
        <w:rPr>
          <w:rFonts w:ascii="Times New Roman" w:hAnsi="Times New Roman" w:cs="Times New Roman"/>
        </w:rPr>
        <w:t xml:space="preserve"> of any </w:t>
      </w:r>
      <w:r w:rsidR="0074659C">
        <w:rPr>
          <w:rFonts w:ascii="Times New Roman" w:hAnsi="Times New Roman" w:cs="Times New Roman"/>
        </w:rPr>
        <w:t>interested</w:t>
      </w:r>
      <w:r>
        <w:rPr>
          <w:rFonts w:ascii="Times New Roman" w:hAnsi="Times New Roman" w:cs="Times New Roman"/>
        </w:rPr>
        <w:t xml:space="preserve"> person, inquire  </w:t>
      </w:r>
    </w:p>
    <w:p w:rsidR="00D332E0" w:rsidRPr="00CE30DA" w:rsidRDefault="00D332E0" w:rsidP="00D332E0">
      <w:pPr>
        <w:spacing w:after="0" w:line="240" w:lineRule="auto"/>
        <w:ind w:left="1440"/>
        <w:jc w:val="both"/>
        <w:rPr>
          <w:rFonts w:ascii="Times New Roman" w:hAnsi="Times New Roman" w:cs="Times New Roman"/>
        </w:rPr>
      </w:pPr>
      <w:r>
        <w:rPr>
          <w:rFonts w:ascii="Times New Roman" w:hAnsi="Times New Roman" w:cs="Times New Roman"/>
        </w:rPr>
        <w:t>into and determine any existing, future or contingent right or obligation--- notwithstanding that such person cannot claim any relief consequential upon such determination.”</w:t>
      </w:r>
    </w:p>
    <w:p w:rsidR="00D332E0" w:rsidRDefault="00D332E0" w:rsidP="00D332E0">
      <w:pPr>
        <w:spacing w:after="0" w:line="360" w:lineRule="auto"/>
        <w:ind w:left="720" w:hanging="720"/>
        <w:jc w:val="both"/>
        <w:rPr>
          <w:rFonts w:ascii="Times New Roman" w:hAnsi="Times New Roman" w:cs="Times New Roman"/>
        </w:rPr>
      </w:pPr>
    </w:p>
    <w:p w:rsidR="00D332E0" w:rsidRDefault="00D332E0" w:rsidP="00D332E0">
      <w:pPr>
        <w:spacing w:after="0" w:line="360" w:lineRule="auto"/>
        <w:ind w:left="720" w:hanging="720"/>
        <w:jc w:val="both"/>
        <w:rPr>
          <w:rFonts w:ascii="Times New Roman" w:hAnsi="Times New Roman" w:cs="Times New Roman"/>
          <w:sz w:val="24"/>
          <w:szCs w:val="24"/>
        </w:rPr>
      </w:pPr>
      <w:r>
        <w:rPr>
          <w:rFonts w:ascii="Times New Roman" w:hAnsi="Times New Roman" w:cs="Times New Roman"/>
        </w:rPr>
        <w:tab/>
      </w:r>
      <w:r w:rsidRPr="00CE30DA">
        <w:rPr>
          <w:rFonts w:ascii="Times New Roman" w:hAnsi="Times New Roman" w:cs="Times New Roman"/>
          <w:i/>
          <w:sz w:val="24"/>
          <w:szCs w:val="24"/>
        </w:rPr>
        <w:t>In casu</w:t>
      </w:r>
      <w:r>
        <w:rPr>
          <w:rFonts w:ascii="Times New Roman" w:hAnsi="Times New Roman" w:cs="Times New Roman"/>
          <w:sz w:val="24"/>
          <w:szCs w:val="24"/>
        </w:rPr>
        <w:t xml:space="preserve">, the applicant which claims to have an </w:t>
      </w:r>
      <w:r w:rsidR="0074659C">
        <w:rPr>
          <w:rFonts w:ascii="Times New Roman" w:hAnsi="Times New Roman" w:cs="Times New Roman"/>
          <w:sz w:val="24"/>
          <w:szCs w:val="24"/>
        </w:rPr>
        <w:t>interest</w:t>
      </w:r>
      <w:r>
        <w:rPr>
          <w:rFonts w:ascii="Times New Roman" w:hAnsi="Times New Roman" w:cs="Times New Roman"/>
          <w:sz w:val="24"/>
          <w:szCs w:val="24"/>
        </w:rPr>
        <w:t xml:space="preserve"> in the sum of money which the </w:t>
      </w:r>
    </w:p>
    <w:p w:rsidR="00D332E0" w:rsidRDefault="00D332E0" w:rsidP="00D33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respondent i</w:t>
      </w:r>
      <w:r w:rsidR="0074659C">
        <w:rPr>
          <w:rFonts w:ascii="Times New Roman" w:hAnsi="Times New Roman" w:cs="Times New Roman"/>
          <w:sz w:val="24"/>
          <w:szCs w:val="24"/>
        </w:rPr>
        <w:t>nstructed</w:t>
      </w:r>
      <w:r>
        <w:rPr>
          <w:rFonts w:ascii="Times New Roman" w:hAnsi="Times New Roman" w:cs="Times New Roman"/>
          <w:sz w:val="24"/>
          <w:szCs w:val="24"/>
        </w:rPr>
        <w:t xml:space="preserve"> its conveyancers to pay to the second respondent in the form of value added tax is moving me to inquire into the </w:t>
      </w:r>
      <w:r w:rsidR="0074659C">
        <w:rPr>
          <w:rFonts w:ascii="Times New Roman" w:hAnsi="Times New Roman" w:cs="Times New Roman"/>
          <w:sz w:val="24"/>
          <w:szCs w:val="24"/>
        </w:rPr>
        <w:t xml:space="preserve">lawfulness or otherwise of </w:t>
      </w:r>
      <w:r>
        <w:rPr>
          <w:rFonts w:ascii="Times New Roman" w:hAnsi="Times New Roman" w:cs="Times New Roman"/>
          <w:sz w:val="24"/>
          <w:szCs w:val="24"/>
        </w:rPr>
        <w:t>payment of the stated sum. It wants me to determine if the payment of the sum was or was not lawful. If it was not lawful, it wants me to make a declaration to the stated effect and to order that the first respondent, alternatively the first and the second respondents</w:t>
      </w:r>
      <w:r w:rsidR="00A716E8">
        <w:rPr>
          <w:rFonts w:ascii="Times New Roman" w:hAnsi="Times New Roman" w:cs="Times New Roman"/>
          <w:sz w:val="24"/>
          <w:szCs w:val="24"/>
        </w:rPr>
        <w:t>,</w:t>
      </w:r>
      <w:r>
        <w:rPr>
          <w:rFonts w:ascii="Times New Roman" w:hAnsi="Times New Roman" w:cs="Times New Roman"/>
          <w:sz w:val="24"/>
          <w:szCs w:val="24"/>
        </w:rPr>
        <w:t xml:space="preserve"> return(s) the said sum to it.</w:t>
      </w:r>
    </w:p>
    <w:p w:rsidR="00D332E0" w:rsidRDefault="00D332E0" w:rsidP="00D33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Whether or not </w:t>
      </w:r>
      <w:r w:rsidR="00D4175E">
        <w:rPr>
          <w:rFonts w:ascii="Times New Roman" w:hAnsi="Times New Roman" w:cs="Times New Roman"/>
          <w:sz w:val="24"/>
          <w:szCs w:val="24"/>
        </w:rPr>
        <w:t xml:space="preserve">such </w:t>
      </w:r>
      <w:r>
        <w:rPr>
          <w:rFonts w:ascii="Times New Roman" w:hAnsi="Times New Roman" w:cs="Times New Roman"/>
          <w:sz w:val="24"/>
          <w:szCs w:val="24"/>
        </w:rPr>
        <w:t xml:space="preserve">a declaration </w:t>
      </w:r>
      <w:r w:rsidR="00CF5764">
        <w:rPr>
          <w:rFonts w:ascii="Times New Roman" w:hAnsi="Times New Roman" w:cs="Times New Roman"/>
          <w:sz w:val="24"/>
          <w:szCs w:val="24"/>
        </w:rPr>
        <w:t xml:space="preserve">as </w:t>
      </w:r>
      <w:r w:rsidR="00B74A5A">
        <w:rPr>
          <w:rFonts w:ascii="Times New Roman" w:hAnsi="Times New Roman" w:cs="Times New Roman"/>
          <w:sz w:val="24"/>
          <w:szCs w:val="24"/>
        </w:rPr>
        <w:t>I am being moved to grant</w:t>
      </w:r>
      <w:r w:rsidR="00CF5764">
        <w:rPr>
          <w:rFonts w:ascii="Times New Roman" w:hAnsi="Times New Roman" w:cs="Times New Roman"/>
          <w:sz w:val="24"/>
          <w:szCs w:val="24"/>
        </w:rPr>
        <w:t xml:space="preserve"> </w:t>
      </w:r>
      <w:r>
        <w:rPr>
          <w:rFonts w:ascii="Times New Roman" w:hAnsi="Times New Roman" w:cs="Times New Roman"/>
          <w:sz w:val="24"/>
          <w:szCs w:val="24"/>
        </w:rPr>
        <w:t xml:space="preserve">can be made does depend on the circumstances of this case as measured against the conduct of the second respondent. Where its conduct is lawful, the declaration cannot be made </w:t>
      </w:r>
      <w:r w:rsidR="00CF5764">
        <w:rPr>
          <w:rFonts w:ascii="Times New Roman" w:hAnsi="Times New Roman" w:cs="Times New Roman"/>
          <w:sz w:val="24"/>
          <w:szCs w:val="24"/>
        </w:rPr>
        <w:t>at all</w:t>
      </w:r>
      <w:r>
        <w:rPr>
          <w:rFonts w:ascii="Times New Roman" w:hAnsi="Times New Roman" w:cs="Times New Roman"/>
          <w:sz w:val="24"/>
          <w:szCs w:val="24"/>
        </w:rPr>
        <w:t xml:space="preserve">. Where the opposite of the stated matter is the case, the court will most certainly declare its conduct unlawful and the attendant consequences which attach to the same </w:t>
      </w:r>
      <w:r w:rsidR="00CF5764">
        <w:rPr>
          <w:rFonts w:ascii="Times New Roman" w:hAnsi="Times New Roman" w:cs="Times New Roman"/>
          <w:sz w:val="24"/>
          <w:szCs w:val="24"/>
        </w:rPr>
        <w:t>would follow</w:t>
      </w:r>
      <w:r>
        <w:rPr>
          <w:rFonts w:ascii="Times New Roman" w:hAnsi="Times New Roman" w:cs="Times New Roman"/>
          <w:sz w:val="24"/>
          <w:szCs w:val="24"/>
        </w:rPr>
        <w:t>.</w:t>
      </w:r>
    </w:p>
    <w:p w:rsidR="00D332E0" w:rsidRDefault="00D332E0" w:rsidP="00D33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stating as I am doing, I am not oblivious to the fact the conduct of the second respondent is separate and distinct from that of the first respondent. Its conduct is grounded in statutory law. The conduct of the first respondent is</w:t>
      </w:r>
      <w:r w:rsidR="00DB0E55">
        <w:rPr>
          <w:rFonts w:ascii="Times New Roman" w:hAnsi="Times New Roman" w:cs="Times New Roman"/>
          <w:sz w:val="24"/>
          <w:szCs w:val="24"/>
        </w:rPr>
        <w:t>,</w:t>
      </w:r>
      <w:r>
        <w:rPr>
          <w:rFonts w:ascii="Times New Roman" w:hAnsi="Times New Roman" w:cs="Times New Roman"/>
          <w:sz w:val="24"/>
          <w:szCs w:val="24"/>
        </w:rPr>
        <w:t xml:space="preserve"> on the other hand, grounded in the law of contract which it concluded with the applicant. The two sets of conduct should not, therefore, be lumped together and/or co</w:t>
      </w:r>
      <w:r w:rsidR="00DB0E55">
        <w:rPr>
          <w:rFonts w:ascii="Times New Roman" w:hAnsi="Times New Roman" w:cs="Times New Roman"/>
          <w:sz w:val="24"/>
          <w:szCs w:val="24"/>
        </w:rPr>
        <w:t>nfused.</w:t>
      </w:r>
      <w:r>
        <w:rPr>
          <w:rFonts w:ascii="Times New Roman" w:hAnsi="Times New Roman" w:cs="Times New Roman"/>
          <w:sz w:val="24"/>
          <w:szCs w:val="24"/>
        </w:rPr>
        <w:t xml:space="preserve"> They speak to two </w:t>
      </w:r>
      <w:r w:rsidR="00DB0E55">
        <w:rPr>
          <w:rFonts w:ascii="Times New Roman" w:hAnsi="Times New Roman" w:cs="Times New Roman"/>
          <w:sz w:val="24"/>
          <w:szCs w:val="24"/>
        </w:rPr>
        <w:t>different</w:t>
      </w:r>
      <w:r>
        <w:rPr>
          <w:rFonts w:ascii="Times New Roman" w:hAnsi="Times New Roman" w:cs="Times New Roman"/>
          <w:sz w:val="24"/>
          <w:szCs w:val="24"/>
        </w:rPr>
        <w:t xml:space="preserve"> circumstances.</w:t>
      </w:r>
    </w:p>
    <w:p w:rsidR="00D332E0" w:rsidRDefault="00DB0E55" w:rsidP="00D33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Annexure D</w:t>
      </w:r>
      <w:r w:rsidR="00D332E0">
        <w:rPr>
          <w:rFonts w:ascii="Times New Roman" w:hAnsi="Times New Roman" w:cs="Times New Roman"/>
          <w:sz w:val="24"/>
          <w:szCs w:val="24"/>
        </w:rPr>
        <w:t xml:space="preserve"> which the second respondent attached to its notice of opposition shows that, on 27 March 2018, it assessed capital gains tax and value added tax which </w:t>
      </w:r>
      <w:r>
        <w:rPr>
          <w:rFonts w:ascii="Times New Roman" w:hAnsi="Times New Roman" w:cs="Times New Roman"/>
          <w:sz w:val="24"/>
          <w:szCs w:val="24"/>
        </w:rPr>
        <w:t xml:space="preserve">it says </w:t>
      </w:r>
      <w:r w:rsidR="00D332E0">
        <w:rPr>
          <w:rFonts w:ascii="Times New Roman" w:hAnsi="Times New Roman" w:cs="Times New Roman"/>
          <w:sz w:val="24"/>
          <w:szCs w:val="24"/>
        </w:rPr>
        <w:t xml:space="preserve">accrued to it from the sale of the property. The reason for assessing value added tax is evident from the contents of Annexure E which it also attached to its notice of opposition. The annexure bears evidence of the fact that the first respondent applied for value added tax registration in 2007. </w:t>
      </w:r>
      <w:r w:rsidR="00444977">
        <w:rPr>
          <w:rFonts w:ascii="Times New Roman" w:hAnsi="Times New Roman" w:cs="Times New Roman"/>
          <w:sz w:val="24"/>
          <w:szCs w:val="24"/>
        </w:rPr>
        <w:t>The first respondent’s application for value added tax</w:t>
      </w:r>
      <w:r w:rsidR="00D332E0">
        <w:rPr>
          <w:rFonts w:ascii="Times New Roman" w:hAnsi="Times New Roman" w:cs="Times New Roman"/>
          <w:sz w:val="24"/>
          <w:szCs w:val="24"/>
        </w:rPr>
        <w:t xml:space="preserve"> was approved on </w:t>
      </w:r>
      <w:r w:rsidR="00D332E0">
        <w:rPr>
          <w:rFonts w:ascii="Times New Roman" w:hAnsi="Times New Roman" w:cs="Times New Roman"/>
          <w:sz w:val="24"/>
          <w:szCs w:val="24"/>
        </w:rPr>
        <w:lastRenderedPageBreak/>
        <w:t>27 April 2007. Reference is made in this regard to Annexure F which appears at p 61 of the record. The relevant portions of the annexure read:</w:t>
      </w:r>
    </w:p>
    <w:p w:rsidR="00D332E0" w:rsidRPr="00B723F4" w:rsidRDefault="00D332E0" w:rsidP="00D332E0">
      <w:pPr>
        <w:spacing w:after="0" w:line="240" w:lineRule="auto"/>
        <w:jc w:val="both"/>
        <w:rPr>
          <w:rFonts w:ascii="Times New Roman" w:hAnsi="Times New Roman" w:cs="Times New Roman"/>
        </w:rPr>
      </w:pPr>
      <w:r>
        <w:rPr>
          <w:rFonts w:ascii="Times New Roman" w:hAnsi="Times New Roman" w:cs="Times New Roman"/>
          <w:sz w:val="24"/>
          <w:szCs w:val="24"/>
        </w:rPr>
        <w:tab/>
      </w:r>
      <w:r w:rsidRPr="00B723F4">
        <w:rPr>
          <w:rFonts w:ascii="Times New Roman" w:hAnsi="Times New Roman" w:cs="Times New Roman"/>
        </w:rPr>
        <w:t>“VALUE ADDED TAX REGISTRATION</w:t>
      </w:r>
    </w:p>
    <w:p w:rsidR="00D332E0" w:rsidRPr="00B723F4" w:rsidRDefault="00D332E0" w:rsidP="00D332E0">
      <w:pPr>
        <w:spacing w:after="0" w:line="240" w:lineRule="auto"/>
        <w:jc w:val="both"/>
        <w:rPr>
          <w:rFonts w:ascii="Times New Roman" w:hAnsi="Times New Roman" w:cs="Times New Roman"/>
        </w:rPr>
      </w:pPr>
      <w:r w:rsidRPr="00B723F4">
        <w:rPr>
          <w:rFonts w:ascii="Times New Roman" w:hAnsi="Times New Roman" w:cs="Times New Roman"/>
        </w:rPr>
        <w:tab/>
      </w:r>
      <w:r w:rsidR="00444977">
        <w:rPr>
          <w:rFonts w:ascii="Times New Roman" w:hAnsi="Times New Roman" w:cs="Times New Roman"/>
        </w:rPr>
        <w:tab/>
      </w:r>
      <w:r w:rsidRPr="00B723F4">
        <w:rPr>
          <w:rFonts w:ascii="Times New Roman" w:hAnsi="Times New Roman" w:cs="Times New Roman"/>
        </w:rPr>
        <w:t>You are hereby advised that your application for value added tax registration has been `</w:t>
      </w:r>
      <w:r w:rsidRPr="00B723F4">
        <w:rPr>
          <w:rFonts w:ascii="Times New Roman" w:hAnsi="Times New Roman" w:cs="Times New Roman"/>
        </w:rPr>
        <w:tab/>
      </w:r>
      <w:r w:rsidR="00444977">
        <w:rPr>
          <w:rFonts w:ascii="Times New Roman" w:hAnsi="Times New Roman" w:cs="Times New Roman"/>
        </w:rPr>
        <w:tab/>
      </w:r>
      <w:r w:rsidRPr="00B723F4">
        <w:rPr>
          <w:rFonts w:ascii="Times New Roman" w:hAnsi="Times New Roman" w:cs="Times New Roman"/>
        </w:rPr>
        <w:t>accepted.</w:t>
      </w:r>
    </w:p>
    <w:p w:rsidR="00D332E0" w:rsidRPr="00B723F4" w:rsidRDefault="00444977" w:rsidP="00D332E0">
      <w:pPr>
        <w:spacing w:after="0" w:line="240" w:lineRule="auto"/>
        <w:ind w:firstLine="720"/>
        <w:jc w:val="both"/>
        <w:rPr>
          <w:rFonts w:ascii="Times New Roman" w:hAnsi="Times New Roman" w:cs="Times New Roman"/>
        </w:rPr>
      </w:pPr>
      <w:r>
        <w:rPr>
          <w:rFonts w:ascii="Times New Roman" w:hAnsi="Times New Roman" w:cs="Times New Roman"/>
        </w:rPr>
        <w:tab/>
      </w:r>
      <w:r w:rsidR="00D332E0" w:rsidRPr="00B723F4">
        <w:rPr>
          <w:rFonts w:ascii="Times New Roman" w:hAnsi="Times New Roman" w:cs="Times New Roman"/>
        </w:rPr>
        <w:t xml:space="preserve">- - - - - </w:t>
      </w:r>
    </w:p>
    <w:p w:rsidR="00D332E0" w:rsidRPr="00B723F4" w:rsidRDefault="00444977" w:rsidP="00D332E0">
      <w:pPr>
        <w:spacing w:after="0" w:line="240" w:lineRule="auto"/>
        <w:ind w:firstLine="720"/>
        <w:jc w:val="both"/>
        <w:rPr>
          <w:rFonts w:ascii="Times New Roman" w:hAnsi="Times New Roman" w:cs="Times New Roman"/>
        </w:rPr>
      </w:pPr>
      <w:r>
        <w:rPr>
          <w:rFonts w:ascii="Times New Roman" w:hAnsi="Times New Roman" w:cs="Times New Roman"/>
        </w:rPr>
        <w:tab/>
      </w:r>
      <w:r w:rsidR="00D332E0" w:rsidRPr="00B723F4">
        <w:rPr>
          <w:rFonts w:ascii="Times New Roman" w:hAnsi="Times New Roman" w:cs="Times New Roman"/>
        </w:rPr>
        <w:t xml:space="preserve">-- - - - </w:t>
      </w:r>
    </w:p>
    <w:p w:rsidR="00D332E0" w:rsidRPr="00B723F4" w:rsidRDefault="00444977" w:rsidP="00D332E0">
      <w:pPr>
        <w:spacing w:after="0" w:line="240" w:lineRule="auto"/>
        <w:ind w:firstLine="720"/>
        <w:jc w:val="both"/>
        <w:rPr>
          <w:rFonts w:ascii="Times New Roman" w:hAnsi="Times New Roman" w:cs="Times New Roman"/>
        </w:rPr>
      </w:pPr>
      <w:r>
        <w:rPr>
          <w:rFonts w:ascii="Times New Roman" w:hAnsi="Times New Roman" w:cs="Times New Roman"/>
        </w:rPr>
        <w:tab/>
      </w:r>
      <w:r w:rsidR="00D332E0" w:rsidRPr="00B723F4">
        <w:rPr>
          <w:rFonts w:ascii="Times New Roman" w:hAnsi="Times New Roman" w:cs="Times New Roman"/>
        </w:rPr>
        <w:t xml:space="preserve">-- - - - </w:t>
      </w:r>
    </w:p>
    <w:p w:rsidR="00D332E0" w:rsidRPr="00B723F4" w:rsidRDefault="00444977" w:rsidP="00D332E0">
      <w:pPr>
        <w:spacing w:after="0" w:line="240" w:lineRule="auto"/>
        <w:ind w:firstLine="720"/>
        <w:jc w:val="both"/>
        <w:rPr>
          <w:rFonts w:ascii="Times New Roman" w:hAnsi="Times New Roman" w:cs="Times New Roman"/>
        </w:rPr>
      </w:pPr>
      <w:r>
        <w:rPr>
          <w:rFonts w:ascii="Times New Roman" w:hAnsi="Times New Roman" w:cs="Times New Roman"/>
        </w:rPr>
        <w:tab/>
      </w:r>
      <w:r w:rsidR="00D332E0" w:rsidRPr="00B723F4">
        <w:rPr>
          <w:rFonts w:ascii="Times New Roman" w:hAnsi="Times New Roman" w:cs="Times New Roman"/>
        </w:rPr>
        <w:t>Tax category C</w:t>
      </w:r>
    </w:p>
    <w:p w:rsidR="00D332E0" w:rsidRDefault="00444977" w:rsidP="00D332E0">
      <w:pPr>
        <w:spacing w:after="0" w:line="240" w:lineRule="auto"/>
        <w:ind w:left="720"/>
        <w:jc w:val="both"/>
        <w:rPr>
          <w:rFonts w:ascii="Times New Roman" w:hAnsi="Times New Roman" w:cs="Times New Roman"/>
        </w:rPr>
      </w:pPr>
      <w:r>
        <w:rPr>
          <w:rFonts w:ascii="Times New Roman" w:hAnsi="Times New Roman" w:cs="Times New Roman"/>
        </w:rPr>
        <w:tab/>
      </w:r>
      <w:r w:rsidR="00D332E0" w:rsidRPr="00B723F4">
        <w:rPr>
          <w:rFonts w:ascii="Times New Roman" w:hAnsi="Times New Roman" w:cs="Times New Roman"/>
        </w:rPr>
        <w:t xml:space="preserve">You </w:t>
      </w:r>
      <w:r w:rsidR="00D332E0">
        <w:rPr>
          <w:rFonts w:ascii="Times New Roman" w:hAnsi="Times New Roman" w:cs="Times New Roman"/>
        </w:rPr>
        <w:t xml:space="preserve">have been placed in Category C whose tax periods are monthly. Your effective </w:t>
      </w:r>
      <w:r>
        <w:rPr>
          <w:rFonts w:ascii="Times New Roman" w:hAnsi="Times New Roman" w:cs="Times New Roman"/>
        </w:rPr>
        <w:tab/>
      </w:r>
      <w:r w:rsidR="00D332E0">
        <w:rPr>
          <w:rFonts w:ascii="Times New Roman" w:hAnsi="Times New Roman" w:cs="Times New Roman"/>
        </w:rPr>
        <w:t>date of registration is 01.09.2005”</w:t>
      </w:r>
    </w:p>
    <w:p w:rsidR="00D332E0" w:rsidRDefault="00D332E0" w:rsidP="00D332E0">
      <w:pPr>
        <w:spacing w:after="0" w:line="240" w:lineRule="auto"/>
        <w:ind w:left="720"/>
        <w:jc w:val="both"/>
        <w:rPr>
          <w:rFonts w:ascii="Times New Roman" w:hAnsi="Times New Roman" w:cs="Times New Roman"/>
        </w:rPr>
      </w:pPr>
    </w:p>
    <w:p w:rsidR="00D332E0" w:rsidRDefault="00D332E0" w:rsidP="00D332E0">
      <w:pPr>
        <w:spacing w:after="0" w:line="360" w:lineRule="auto"/>
        <w:ind w:left="720"/>
        <w:jc w:val="both"/>
        <w:rPr>
          <w:rFonts w:ascii="Times New Roman" w:hAnsi="Times New Roman" w:cs="Times New Roman"/>
          <w:sz w:val="24"/>
          <w:szCs w:val="24"/>
        </w:rPr>
      </w:pPr>
      <w:r w:rsidRPr="00B723F4">
        <w:rPr>
          <w:rFonts w:ascii="Times New Roman" w:hAnsi="Times New Roman" w:cs="Times New Roman"/>
          <w:sz w:val="24"/>
          <w:szCs w:val="24"/>
        </w:rPr>
        <w:t>Annexures G1 – G8 which the second respondent attached to its notice of opposition</w:t>
      </w:r>
      <w:r>
        <w:rPr>
          <w:rFonts w:ascii="Times New Roman" w:hAnsi="Times New Roman" w:cs="Times New Roman"/>
          <w:sz w:val="24"/>
          <w:szCs w:val="24"/>
        </w:rPr>
        <w:t xml:space="preserve"> </w:t>
      </w:r>
    </w:p>
    <w:p w:rsidR="008F489B" w:rsidRDefault="00D332E0" w:rsidP="008F4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appear at pp 62 to 83 of the r</w:t>
      </w:r>
      <w:r w:rsidR="008F489B">
        <w:rPr>
          <w:rFonts w:ascii="Times New Roman" w:hAnsi="Times New Roman" w:cs="Times New Roman"/>
          <w:sz w:val="24"/>
          <w:szCs w:val="24"/>
        </w:rPr>
        <w:t>ecord. The annexures constitute the first respondent’s returns for remittance of value added tax to the second respondent.</w:t>
      </w:r>
    </w:p>
    <w:p w:rsidR="008F489B" w:rsidRDefault="008F489B" w:rsidP="008F4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Two mattes stand out clearly from </w:t>
      </w:r>
      <w:r w:rsidR="00306B67">
        <w:rPr>
          <w:rFonts w:ascii="Times New Roman" w:hAnsi="Times New Roman" w:cs="Times New Roman"/>
          <w:sz w:val="24"/>
          <w:szCs w:val="24"/>
        </w:rPr>
        <w:t xml:space="preserve">a reading of </w:t>
      </w:r>
      <w:r>
        <w:rPr>
          <w:rFonts w:ascii="Times New Roman" w:hAnsi="Times New Roman" w:cs="Times New Roman"/>
          <w:sz w:val="24"/>
          <w:szCs w:val="24"/>
        </w:rPr>
        <w:t>the above-stated set of circumstances. These are that the first respondent:</w:t>
      </w:r>
    </w:p>
    <w:p w:rsidR="008F489B" w:rsidRDefault="00306B67" w:rsidP="008F489B">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8F489B">
        <w:rPr>
          <w:rFonts w:ascii="Times New Roman" w:hAnsi="Times New Roman" w:cs="Times New Roman"/>
          <w:sz w:val="24"/>
          <w:szCs w:val="24"/>
        </w:rPr>
        <w:t>s registered for value added tax-and</w:t>
      </w:r>
    </w:p>
    <w:p w:rsidR="008F489B" w:rsidRDefault="00306B67" w:rsidP="008F489B">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8F489B">
        <w:rPr>
          <w:rFonts w:ascii="Times New Roman" w:hAnsi="Times New Roman" w:cs="Times New Roman"/>
          <w:sz w:val="24"/>
          <w:szCs w:val="24"/>
        </w:rPr>
        <w:t>s liable to account, and has always accounted</w:t>
      </w:r>
      <w:r>
        <w:rPr>
          <w:rFonts w:ascii="Times New Roman" w:hAnsi="Times New Roman" w:cs="Times New Roman"/>
          <w:sz w:val="24"/>
          <w:szCs w:val="24"/>
        </w:rPr>
        <w:t>,</w:t>
      </w:r>
      <w:r w:rsidR="008F489B">
        <w:rPr>
          <w:rFonts w:ascii="Times New Roman" w:hAnsi="Times New Roman" w:cs="Times New Roman"/>
          <w:sz w:val="24"/>
          <w:szCs w:val="24"/>
        </w:rPr>
        <w:t xml:space="preserve"> for value added tax whenever it disposes, or disposed, of any immovable property.</w:t>
      </w:r>
    </w:p>
    <w:p w:rsidR="008F489B" w:rsidRDefault="008F489B" w:rsidP="008F489B">
      <w:pPr>
        <w:pStyle w:val="ListParagraph"/>
        <w:spacing w:after="0" w:line="360" w:lineRule="auto"/>
        <w:ind w:left="0" w:firstLine="720"/>
        <w:jc w:val="both"/>
        <w:rPr>
          <w:rFonts w:ascii="Times New Roman" w:hAnsi="Times New Roman" w:cs="Times New Roman"/>
          <w:sz w:val="24"/>
          <w:szCs w:val="24"/>
        </w:rPr>
      </w:pPr>
      <w:r w:rsidRPr="006701B0">
        <w:rPr>
          <w:rFonts w:ascii="Times New Roman" w:hAnsi="Times New Roman" w:cs="Times New Roman"/>
          <w:i/>
          <w:sz w:val="24"/>
          <w:szCs w:val="24"/>
        </w:rPr>
        <w:t>In casu</w:t>
      </w:r>
      <w:r>
        <w:rPr>
          <w:rFonts w:ascii="Times New Roman" w:hAnsi="Times New Roman" w:cs="Times New Roman"/>
          <w:sz w:val="24"/>
          <w:szCs w:val="24"/>
        </w:rPr>
        <w:t>, the first respondent sold a piece of land to the Fund. As an entity which is registered for value added tax, it could not avoid its obligation to account for the same to the second respondent. The law demanded that it lived up to its commitments which it did.</w:t>
      </w:r>
    </w:p>
    <w:p w:rsidR="008F489B" w:rsidRDefault="008F489B" w:rsidP="008F489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Given the wealth of evidence which the second respondent produced as a justification </w:t>
      </w:r>
      <w:r w:rsidR="003E5E40">
        <w:rPr>
          <w:rFonts w:ascii="Times New Roman" w:hAnsi="Times New Roman" w:cs="Times New Roman"/>
          <w:sz w:val="24"/>
          <w:szCs w:val="24"/>
        </w:rPr>
        <w:t xml:space="preserve">for </w:t>
      </w:r>
      <w:r>
        <w:rPr>
          <w:rFonts w:ascii="Times New Roman" w:hAnsi="Times New Roman" w:cs="Times New Roman"/>
          <w:sz w:val="24"/>
          <w:szCs w:val="24"/>
        </w:rPr>
        <w:t>its conduct, the suggestion that it acted outside the law when it assessed value added tax in respect of the sale of the property become</w:t>
      </w:r>
      <w:r w:rsidR="00306B67">
        <w:rPr>
          <w:rFonts w:ascii="Times New Roman" w:hAnsi="Times New Roman" w:cs="Times New Roman"/>
          <w:sz w:val="24"/>
          <w:szCs w:val="24"/>
        </w:rPr>
        <w:t>s</w:t>
      </w:r>
      <w:r>
        <w:rPr>
          <w:rFonts w:ascii="Times New Roman" w:hAnsi="Times New Roman" w:cs="Times New Roman"/>
          <w:sz w:val="24"/>
          <w:szCs w:val="24"/>
        </w:rPr>
        <w:t xml:space="preserve"> more fanciful than it is real. It was within its right to assess and demand that the first respondent should pay value added tax for the land which it sold. The </w:t>
      </w:r>
      <w:r w:rsidR="00DF7E89">
        <w:rPr>
          <w:rFonts w:ascii="Times New Roman" w:hAnsi="Times New Roman" w:cs="Times New Roman"/>
          <w:sz w:val="24"/>
          <w:szCs w:val="24"/>
        </w:rPr>
        <w:t>l</w:t>
      </w:r>
      <w:r>
        <w:rPr>
          <w:rFonts w:ascii="Times New Roman" w:hAnsi="Times New Roman" w:cs="Times New Roman"/>
          <w:sz w:val="24"/>
          <w:szCs w:val="24"/>
        </w:rPr>
        <w:t>aw was</w:t>
      </w:r>
      <w:r w:rsidR="00DF7E89">
        <w:rPr>
          <w:rFonts w:ascii="Times New Roman" w:hAnsi="Times New Roman" w:cs="Times New Roman"/>
          <w:sz w:val="24"/>
          <w:szCs w:val="24"/>
        </w:rPr>
        <w:t>,</w:t>
      </w:r>
      <w:r>
        <w:rPr>
          <w:rFonts w:ascii="Times New Roman" w:hAnsi="Times New Roman" w:cs="Times New Roman"/>
          <w:sz w:val="24"/>
          <w:szCs w:val="24"/>
        </w:rPr>
        <w:t xml:space="preserve"> and is, on its side under the stated set of circumstances.</w:t>
      </w:r>
    </w:p>
    <w:p w:rsidR="008F489B" w:rsidRDefault="008F489B" w:rsidP="008F489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argued from the perspective of a misinformed entity when it </w:t>
      </w:r>
      <w:r w:rsidR="00DF7E89">
        <w:rPr>
          <w:rFonts w:ascii="Times New Roman" w:hAnsi="Times New Roman" w:cs="Times New Roman"/>
          <w:sz w:val="24"/>
          <w:szCs w:val="24"/>
        </w:rPr>
        <w:t>averred</w:t>
      </w:r>
      <w:r>
        <w:rPr>
          <w:rFonts w:ascii="Times New Roman" w:hAnsi="Times New Roman" w:cs="Times New Roman"/>
          <w:sz w:val="24"/>
          <w:szCs w:val="24"/>
        </w:rPr>
        <w:t xml:space="preserve"> that the first respondent was not registered for value added tax. The second respondent expresses the same sentiments. It states, in para 8 of </w:t>
      </w:r>
      <w:r w:rsidR="00DF7E89">
        <w:rPr>
          <w:rFonts w:ascii="Times New Roman" w:hAnsi="Times New Roman" w:cs="Times New Roman"/>
          <w:sz w:val="24"/>
          <w:szCs w:val="24"/>
        </w:rPr>
        <w:t>its</w:t>
      </w:r>
      <w:r>
        <w:rPr>
          <w:rFonts w:ascii="Times New Roman" w:hAnsi="Times New Roman" w:cs="Times New Roman"/>
          <w:sz w:val="24"/>
          <w:szCs w:val="24"/>
        </w:rPr>
        <w:t xml:space="preserve"> affidavit, that the applicant was not </w:t>
      </w:r>
      <w:r w:rsidR="00DF7E89">
        <w:rPr>
          <w:rFonts w:ascii="Times New Roman" w:hAnsi="Times New Roman" w:cs="Times New Roman"/>
          <w:sz w:val="24"/>
          <w:szCs w:val="24"/>
        </w:rPr>
        <w:t>aware</w:t>
      </w:r>
      <w:r>
        <w:rPr>
          <w:rFonts w:ascii="Times New Roman" w:hAnsi="Times New Roman" w:cs="Times New Roman"/>
          <w:sz w:val="24"/>
          <w:szCs w:val="24"/>
        </w:rPr>
        <w:t xml:space="preserve"> that the first respondent also carried out activities which attract value added tax. The first respondent confirms the statement of the second respondent. It s</w:t>
      </w:r>
      <w:r w:rsidR="00DF7E89">
        <w:rPr>
          <w:rFonts w:ascii="Times New Roman" w:hAnsi="Times New Roman" w:cs="Times New Roman"/>
          <w:sz w:val="24"/>
          <w:szCs w:val="24"/>
        </w:rPr>
        <w:t>t</w:t>
      </w:r>
      <w:r>
        <w:rPr>
          <w:rFonts w:ascii="Times New Roman" w:hAnsi="Times New Roman" w:cs="Times New Roman"/>
          <w:sz w:val="24"/>
          <w:szCs w:val="24"/>
        </w:rPr>
        <w:t>ates, in paragraph 7 (b) of its affidavit, that the applicant’s reliance on the alleged value added tax exemption is unfortunate.</w:t>
      </w:r>
    </w:p>
    <w:p w:rsidR="008F489B" w:rsidRDefault="008F489B" w:rsidP="008F489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The statement of the applicant as contained on para 3</w:t>
      </w:r>
      <w:r w:rsidR="009361E5">
        <w:rPr>
          <w:rFonts w:ascii="Times New Roman" w:hAnsi="Times New Roman" w:cs="Times New Roman"/>
          <w:sz w:val="24"/>
          <w:szCs w:val="24"/>
        </w:rPr>
        <w:t>.</w:t>
      </w:r>
      <w:r>
        <w:rPr>
          <w:rFonts w:ascii="Times New Roman" w:hAnsi="Times New Roman" w:cs="Times New Roman"/>
          <w:sz w:val="24"/>
          <w:szCs w:val="24"/>
        </w:rPr>
        <w:t>2 of its answering affidavit is disingenuous. It argues that the basis of the sale of the property had its roots in the first respondent</w:t>
      </w:r>
      <w:r w:rsidR="003E5E40">
        <w:rPr>
          <w:rFonts w:ascii="Times New Roman" w:hAnsi="Times New Roman" w:cs="Times New Roman"/>
          <w:sz w:val="24"/>
          <w:szCs w:val="24"/>
        </w:rPr>
        <w:t>’s</w:t>
      </w:r>
      <w:r>
        <w:rPr>
          <w:rFonts w:ascii="Times New Roman" w:hAnsi="Times New Roman" w:cs="Times New Roman"/>
          <w:sz w:val="24"/>
          <w:szCs w:val="24"/>
        </w:rPr>
        <w:t xml:space="preserve"> traditional functions as</w:t>
      </w:r>
      <w:r w:rsidR="009361E5">
        <w:rPr>
          <w:rFonts w:ascii="Times New Roman" w:hAnsi="Times New Roman" w:cs="Times New Roman"/>
          <w:sz w:val="24"/>
          <w:szCs w:val="24"/>
        </w:rPr>
        <w:t xml:space="preserve"> a</w:t>
      </w:r>
      <w:r>
        <w:rPr>
          <w:rFonts w:ascii="Times New Roman" w:hAnsi="Times New Roman" w:cs="Times New Roman"/>
          <w:sz w:val="24"/>
          <w:szCs w:val="24"/>
        </w:rPr>
        <w:t xml:space="preserve"> financial services provider. It says:</w:t>
      </w:r>
    </w:p>
    <w:p w:rsidR="008F489B" w:rsidRDefault="008F489B" w:rsidP="008F489B">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“…the sale was founded on a transaction in terms of which the security against a loan was </w:t>
      </w:r>
      <w:r>
        <w:rPr>
          <w:rFonts w:ascii="Times New Roman" w:hAnsi="Times New Roman" w:cs="Times New Roman"/>
        </w:rPr>
        <w:tab/>
        <w:t xml:space="preserve">taken by the Bank </w:t>
      </w:r>
      <w:r w:rsidRPr="00485D06">
        <w:rPr>
          <w:rFonts w:ascii="Times New Roman" w:hAnsi="Times New Roman" w:cs="Times New Roman"/>
          <w:i/>
        </w:rPr>
        <w:t>in lieu</w:t>
      </w:r>
      <w:r>
        <w:rPr>
          <w:rFonts w:ascii="Times New Roman" w:hAnsi="Times New Roman" w:cs="Times New Roman"/>
        </w:rPr>
        <w:t xml:space="preserve"> of a cash payment. The same security was then sold with no value </w:t>
      </w:r>
      <w:r>
        <w:rPr>
          <w:rFonts w:ascii="Times New Roman" w:hAnsi="Times New Roman" w:cs="Times New Roman"/>
        </w:rPr>
        <w:tab/>
        <w:t xml:space="preserve">addition to convert the </w:t>
      </w:r>
      <w:r w:rsidR="003E5E40">
        <w:rPr>
          <w:rFonts w:ascii="Times New Roman" w:hAnsi="Times New Roman" w:cs="Times New Roman"/>
        </w:rPr>
        <w:t>n</w:t>
      </w:r>
      <w:r>
        <w:rPr>
          <w:rFonts w:ascii="Times New Roman" w:hAnsi="Times New Roman" w:cs="Times New Roman"/>
        </w:rPr>
        <w:t xml:space="preserve">on-liquid repayment into a liquid payment. Nevertheless it remains a </w:t>
      </w:r>
      <w:r>
        <w:rPr>
          <w:rFonts w:ascii="Times New Roman" w:hAnsi="Times New Roman" w:cs="Times New Roman"/>
        </w:rPr>
        <w:tab/>
        <w:t>loan settlement.”</w:t>
      </w:r>
    </w:p>
    <w:p w:rsidR="008F489B" w:rsidRDefault="008F489B" w:rsidP="008F489B">
      <w:pPr>
        <w:pStyle w:val="ListParagraph"/>
        <w:spacing w:after="0" w:line="240" w:lineRule="auto"/>
        <w:ind w:left="0" w:firstLine="720"/>
        <w:jc w:val="both"/>
        <w:rPr>
          <w:rFonts w:ascii="Times New Roman" w:hAnsi="Times New Roman" w:cs="Times New Roman"/>
        </w:rPr>
      </w:pPr>
    </w:p>
    <w:p w:rsidR="008F489B" w:rsidRDefault="008F489B" w:rsidP="008F489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Whilst it is accepted that the agreement of 20 December, 2016 has some semblance</w:t>
      </w:r>
      <w:r w:rsidR="009361E5">
        <w:rPr>
          <w:rFonts w:ascii="Times New Roman" w:hAnsi="Times New Roman" w:cs="Times New Roman"/>
          <w:sz w:val="24"/>
          <w:szCs w:val="24"/>
        </w:rPr>
        <w:t xml:space="preserve"> of</w:t>
      </w:r>
      <w:r>
        <w:rPr>
          <w:rFonts w:ascii="Times New Roman" w:hAnsi="Times New Roman" w:cs="Times New Roman"/>
          <w:sz w:val="24"/>
          <w:szCs w:val="24"/>
        </w:rPr>
        <w:t xml:space="preserve"> what the applicant is claiming in the sense that the intention of the first respondent and the applicant was to allow the latter to re-purchase the property and in the further sense that no purchase price was paid for the sale of the property, the contract of 23 February, 2018 is totally different from that of 20 December, 2016. It has all the features of a purchase and s</w:t>
      </w:r>
      <w:r w:rsidR="003E5E40">
        <w:rPr>
          <w:rFonts w:ascii="Times New Roman" w:hAnsi="Times New Roman" w:cs="Times New Roman"/>
          <w:sz w:val="24"/>
          <w:szCs w:val="24"/>
        </w:rPr>
        <w:t>ale</w:t>
      </w:r>
      <w:r>
        <w:rPr>
          <w:rFonts w:ascii="Times New Roman" w:hAnsi="Times New Roman" w:cs="Times New Roman"/>
          <w:sz w:val="24"/>
          <w:szCs w:val="24"/>
        </w:rPr>
        <w:t xml:space="preserve"> agreement. It has the b</w:t>
      </w:r>
      <w:r w:rsidR="003E5E40">
        <w:rPr>
          <w:rFonts w:ascii="Times New Roman" w:hAnsi="Times New Roman" w:cs="Times New Roman"/>
          <w:sz w:val="24"/>
          <w:szCs w:val="24"/>
        </w:rPr>
        <w:t>u</w:t>
      </w:r>
      <w:r>
        <w:rPr>
          <w:rFonts w:ascii="Times New Roman" w:hAnsi="Times New Roman" w:cs="Times New Roman"/>
          <w:sz w:val="24"/>
          <w:szCs w:val="24"/>
        </w:rPr>
        <w:t>yer, the seller and the price.</w:t>
      </w:r>
    </w:p>
    <w:p w:rsidR="008F489B" w:rsidRDefault="008F489B" w:rsidP="008F489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fact that the new purchase</w:t>
      </w:r>
      <w:r w:rsidR="009361E5">
        <w:rPr>
          <w:rFonts w:ascii="Times New Roman" w:hAnsi="Times New Roman" w:cs="Times New Roman"/>
          <w:sz w:val="24"/>
          <w:szCs w:val="24"/>
        </w:rPr>
        <w:t>r</w:t>
      </w:r>
      <w:r>
        <w:rPr>
          <w:rFonts w:ascii="Times New Roman" w:hAnsi="Times New Roman" w:cs="Times New Roman"/>
          <w:sz w:val="24"/>
          <w:szCs w:val="24"/>
        </w:rPr>
        <w:t xml:space="preserve"> of the property has nothing to do with the buy-back option which the first respondent extended to the applicant in the agreement of 20 December, 2016 marks the difference of the two agreements. It cannot be suggested that the Fund which purchased the property intends to re-sell the same to the applicant. Its clear intention is to keep the property to itself for timeous immemorial. It p</w:t>
      </w:r>
      <w:r w:rsidR="009361E5">
        <w:rPr>
          <w:rFonts w:ascii="Times New Roman" w:hAnsi="Times New Roman" w:cs="Times New Roman"/>
          <w:sz w:val="24"/>
          <w:szCs w:val="24"/>
        </w:rPr>
        <w:t>urchased it</w:t>
      </w:r>
      <w:r>
        <w:rPr>
          <w:rFonts w:ascii="Times New Roman" w:hAnsi="Times New Roman" w:cs="Times New Roman"/>
          <w:sz w:val="24"/>
          <w:szCs w:val="24"/>
        </w:rPr>
        <w:t xml:space="preserve"> for a specified sum of money from the first respondent who is the seller of the same.</w:t>
      </w:r>
    </w:p>
    <w:p w:rsidR="008F489B" w:rsidRDefault="008F489B" w:rsidP="008F489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difference of the two agreements accounts for the second respondent’s silence in regard to the first contract </w:t>
      </w:r>
      <w:r w:rsidR="00A716E8">
        <w:rPr>
          <w:rFonts w:ascii="Times New Roman" w:hAnsi="Times New Roman" w:cs="Times New Roman"/>
          <w:sz w:val="24"/>
          <w:szCs w:val="24"/>
        </w:rPr>
        <w:t xml:space="preserve">of sale </w:t>
      </w:r>
      <w:r>
        <w:rPr>
          <w:rFonts w:ascii="Times New Roman" w:hAnsi="Times New Roman" w:cs="Times New Roman"/>
          <w:sz w:val="24"/>
          <w:szCs w:val="24"/>
        </w:rPr>
        <w:t>and its demand for payment of both capital gains tax and value added tax in so far as the second contract is concerned. It could not demand payment of any tax in the first contract because no money changed hands between the applicant and the first respondent. Because no money was paid in the “</w:t>
      </w:r>
      <w:r w:rsidR="009361E5">
        <w:rPr>
          <w:rFonts w:ascii="Times New Roman" w:hAnsi="Times New Roman" w:cs="Times New Roman"/>
          <w:sz w:val="24"/>
          <w:szCs w:val="24"/>
        </w:rPr>
        <w:t xml:space="preserve">first </w:t>
      </w:r>
      <w:r>
        <w:rPr>
          <w:rFonts w:ascii="Times New Roman" w:hAnsi="Times New Roman" w:cs="Times New Roman"/>
          <w:sz w:val="24"/>
          <w:szCs w:val="24"/>
        </w:rPr>
        <w:t xml:space="preserve">sale” the probabilities are that the second respondent’s attention was not drawn to the parties’ transaction. The same cannot be said </w:t>
      </w:r>
      <w:r w:rsidR="009361E5">
        <w:rPr>
          <w:rFonts w:ascii="Times New Roman" w:hAnsi="Times New Roman" w:cs="Times New Roman"/>
          <w:sz w:val="24"/>
          <w:szCs w:val="24"/>
        </w:rPr>
        <w:t>i</w:t>
      </w:r>
      <w:r>
        <w:rPr>
          <w:rFonts w:ascii="Times New Roman" w:hAnsi="Times New Roman" w:cs="Times New Roman"/>
          <w:sz w:val="24"/>
          <w:szCs w:val="24"/>
        </w:rPr>
        <w:t xml:space="preserve">n respect of the second contract wherein the Fund paid the requisite purchase price for the property. The payment necessarily brought the second respondent into the equation. It remained </w:t>
      </w:r>
      <w:r w:rsidR="009361E5">
        <w:rPr>
          <w:rFonts w:ascii="Times New Roman" w:hAnsi="Times New Roman" w:cs="Times New Roman"/>
          <w:sz w:val="24"/>
          <w:szCs w:val="24"/>
        </w:rPr>
        <w:t>a</w:t>
      </w:r>
      <w:r>
        <w:rPr>
          <w:rFonts w:ascii="Times New Roman" w:hAnsi="Times New Roman" w:cs="Times New Roman"/>
          <w:sz w:val="24"/>
          <w:szCs w:val="24"/>
        </w:rPr>
        <w:t>live to the fact that it had to, and did in fact, collect what was due to it in terms of the applicable laws(s)</w:t>
      </w:r>
      <w:r w:rsidR="009361E5">
        <w:rPr>
          <w:rFonts w:ascii="Times New Roman" w:hAnsi="Times New Roman" w:cs="Times New Roman"/>
          <w:sz w:val="24"/>
          <w:szCs w:val="24"/>
        </w:rPr>
        <w:t xml:space="preserve"> of the country</w:t>
      </w:r>
      <w:r>
        <w:rPr>
          <w:rFonts w:ascii="Times New Roman" w:hAnsi="Times New Roman" w:cs="Times New Roman"/>
          <w:sz w:val="24"/>
          <w:szCs w:val="24"/>
        </w:rPr>
        <w:t>.</w:t>
      </w:r>
    </w:p>
    <w:p w:rsidR="008F489B" w:rsidRDefault="008F489B" w:rsidP="008F489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on the basis of the above stated set of matters, therefore, that the submissions of the applicant remain without merit. It cannot be allowed to contract outside the </w:t>
      </w:r>
      <w:r w:rsidR="002A0D0D">
        <w:rPr>
          <w:rFonts w:ascii="Times New Roman" w:hAnsi="Times New Roman" w:cs="Times New Roman"/>
          <w:sz w:val="24"/>
          <w:szCs w:val="24"/>
        </w:rPr>
        <w:t>l</w:t>
      </w:r>
      <w:r>
        <w:rPr>
          <w:rFonts w:ascii="Times New Roman" w:hAnsi="Times New Roman" w:cs="Times New Roman"/>
          <w:sz w:val="24"/>
          <w:szCs w:val="24"/>
        </w:rPr>
        <w:t>aw on the false premise that the contract of 23 February, 2018 falls in the ambit of a loan settlement. It does not. It is, if anything, a proper contract of purchase and sale which, as the second respondent was able to show, attracts both taxes.</w:t>
      </w:r>
    </w:p>
    <w:p w:rsidR="008F489B" w:rsidRPr="000C1582" w:rsidRDefault="00A716E8" w:rsidP="008F4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F489B">
        <w:rPr>
          <w:rFonts w:ascii="Times New Roman" w:hAnsi="Times New Roman" w:cs="Times New Roman"/>
          <w:sz w:val="24"/>
          <w:szCs w:val="24"/>
        </w:rPr>
        <w:t xml:space="preserve">The applicant does not explain what prompted it to adopt the complicated route of selling and re-purchasing what it had sold. It could easily </w:t>
      </w:r>
      <w:r w:rsidR="002A0D0D">
        <w:rPr>
          <w:rFonts w:ascii="Times New Roman" w:hAnsi="Times New Roman" w:cs="Times New Roman"/>
          <w:sz w:val="24"/>
          <w:szCs w:val="24"/>
        </w:rPr>
        <w:t>have adopted</w:t>
      </w:r>
      <w:r w:rsidR="008F489B" w:rsidRPr="000C1582">
        <w:rPr>
          <w:rFonts w:ascii="Times New Roman" w:hAnsi="Times New Roman" w:cs="Times New Roman"/>
          <w:sz w:val="24"/>
          <w:szCs w:val="24"/>
        </w:rPr>
        <w:t xml:space="preserve"> the </w:t>
      </w:r>
      <w:r w:rsidR="002A0D0D">
        <w:rPr>
          <w:rFonts w:ascii="Times New Roman" w:hAnsi="Times New Roman" w:cs="Times New Roman"/>
          <w:sz w:val="24"/>
          <w:szCs w:val="24"/>
        </w:rPr>
        <w:t xml:space="preserve">clear and straightforward route of </w:t>
      </w:r>
      <w:r w:rsidR="00A016C6">
        <w:rPr>
          <w:rFonts w:ascii="Times New Roman" w:hAnsi="Times New Roman" w:cs="Times New Roman"/>
          <w:sz w:val="24"/>
          <w:szCs w:val="24"/>
        </w:rPr>
        <w:t>passing</w:t>
      </w:r>
      <w:r w:rsidR="008F489B" w:rsidRPr="000C1582">
        <w:rPr>
          <w:rFonts w:ascii="Times New Roman" w:hAnsi="Times New Roman" w:cs="Times New Roman"/>
          <w:sz w:val="24"/>
          <w:szCs w:val="24"/>
        </w:rPr>
        <w:t xml:space="preserve"> a mortg</w:t>
      </w:r>
      <w:r w:rsidR="008F489B">
        <w:rPr>
          <w:rFonts w:ascii="Times New Roman" w:hAnsi="Times New Roman" w:cs="Times New Roman"/>
          <w:sz w:val="24"/>
          <w:szCs w:val="24"/>
        </w:rPr>
        <w:t>a</w:t>
      </w:r>
      <w:r w:rsidR="008F489B" w:rsidRPr="000C1582">
        <w:rPr>
          <w:rFonts w:ascii="Times New Roman" w:hAnsi="Times New Roman" w:cs="Times New Roman"/>
          <w:sz w:val="24"/>
          <w:szCs w:val="24"/>
        </w:rPr>
        <w:t xml:space="preserve">ge bond </w:t>
      </w:r>
      <w:r w:rsidR="003E5E40">
        <w:rPr>
          <w:rFonts w:ascii="Times New Roman" w:hAnsi="Times New Roman" w:cs="Times New Roman"/>
          <w:sz w:val="24"/>
          <w:szCs w:val="24"/>
        </w:rPr>
        <w:t xml:space="preserve">over the property </w:t>
      </w:r>
      <w:r w:rsidR="008F489B" w:rsidRPr="000C1582">
        <w:rPr>
          <w:rFonts w:ascii="Times New Roman" w:hAnsi="Times New Roman" w:cs="Times New Roman"/>
          <w:sz w:val="24"/>
          <w:szCs w:val="24"/>
        </w:rPr>
        <w:t xml:space="preserve">in favour of the first respondent if its intention was to use the property as security for the loan which had been advanced to </w:t>
      </w:r>
      <w:r w:rsidR="00032D5F" w:rsidRPr="000C1582">
        <w:rPr>
          <w:rFonts w:ascii="Times New Roman" w:hAnsi="Times New Roman" w:cs="Times New Roman"/>
          <w:sz w:val="24"/>
          <w:szCs w:val="24"/>
        </w:rPr>
        <w:t xml:space="preserve">it. </w:t>
      </w:r>
      <w:r w:rsidR="008F489B" w:rsidRPr="000C1582">
        <w:rPr>
          <w:rFonts w:ascii="Times New Roman" w:hAnsi="Times New Roman" w:cs="Times New Roman"/>
          <w:sz w:val="24"/>
          <w:szCs w:val="24"/>
        </w:rPr>
        <w:t>The reason for the route which it took is</w:t>
      </w:r>
      <w:r w:rsidR="00032D5F">
        <w:rPr>
          <w:rFonts w:ascii="Times New Roman" w:hAnsi="Times New Roman" w:cs="Times New Roman"/>
          <w:sz w:val="24"/>
          <w:szCs w:val="24"/>
        </w:rPr>
        <w:t>,</w:t>
      </w:r>
      <w:r w:rsidR="008F489B" w:rsidRPr="000C1582">
        <w:rPr>
          <w:rFonts w:ascii="Times New Roman" w:hAnsi="Times New Roman" w:cs="Times New Roman"/>
          <w:sz w:val="24"/>
          <w:szCs w:val="24"/>
        </w:rPr>
        <w:t xml:space="preserve"> however, not difficult to discern</w:t>
      </w:r>
      <w:r w:rsidR="003E5E40">
        <w:rPr>
          <w:rFonts w:ascii="Times New Roman" w:hAnsi="Times New Roman" w:cs="Times New Roman"/>
          <w:sz w:val="24"/>
          <w:szCs w:val="24"/>
        </w:rPr>
        <w:t>:</w:t>
      </w:r>
      <w:r w:rsidR="00B20B76">
        <w:rPr>
          <w:rFonts w:ascii="Times New Roman" w:hAnsi="Times New Roman" w:cs="Times New Roman"/>
          <w:sz w:val="24"/>
          <w:szCs w:val="24"/>
        </w:rPr>
        <w:t xml:space="preserve"> </w:t>
      </w:r>
      <w:r w:rsidR="008F489B" w:rsidRPr="000C1582">
        <w:rPr>
          <w:rFonts w:ascii="Times New Roman" w:hAnsi="Times New Roman" w:cs="Times New Roman"/>
          <w:sz w:val="24"/>
          <w:szCs w:val="24"/>
        </w:rPr>
        <w:t>The applicant realized that it owed a huge debt to the first respondent. It remained alive to th</w:t>
      </w:r>
      <w:r w:rsidR="002E6BD7">
        <w:rPr>
          <w:rFonts w:ascii="Times New Roman" w:hAnsi="Times New Roman" w:cs="Times New Roman"/>
          <w:sz w:val="24"/>
          <w:szCs w:val="24"/>
        </w:rPr>
        <w:t xml:space="preserve">e </w:t>
      </w:r>
      <w:r w:rsidR="008F489B" w:rsidRPr="000C1582">
        <w:rPr>
          <w:rFonts w:ascii="Times New Roman" w:hAnsi="Times New Roman" w:cs="Times New Roman"/>
          <w:sz w:val="24"/>
          <w:szCs w:val="24"/>
        </w:rPr>
        <w:t xml:space="preserve">fact that it could not pay off the debt. It also realized that it </w:t>
      </w:r>
      <w:r w:rsidR="002E6BD7">
        <w:rPr>
          <w:rFonts w:ascii="Times New Roman" w:hAnsi="Times New Roman" w:cs="Times New Roman"/>
          <w:sz w:val="24"/>
          <w:szCs w:val="24"/>
        </w:rPr>
        <w:t>did</w:t>
      </w:r>
      <w:r w:rsidR="008F489B" w:rsidRPr="000C1582">
        <w:rPr>
          <w:rFonts w:ascii="Times New Roman" w:hAnsi="Times New Roman" w:cs="Times New Roman"/>
          <w:sz w:val="24"/>
          <w:szCs w:val="24"/>
        </w:rPr>
        <w:t xml:space="preserve"> not have the means to repay the debt.</w:t>
      </w:r>
      <w:r w:rsidR="003E5E40">
        <w:rPr>
          <w:rFonts w:ascii="Times New Roman" w:hAnsi="Times New Roman" w:cs="Times New Roman"/>
          <w:sz w:val="24"/>
          <w:szCs w:val="24"/>
        </w:rPr>
        <w:t xml:space="preserve"> It</w:t>
      </w:r>
      <w:r w:rsidR="00450B7F">
        <w:rPr>
          <w:rFonts w:ascii="Times New Roman" w:hAnsi="Times New Roman" w:cs="Times New Roman"/>
          <w:sz w:val="24"/>
          <w:szCs w:val="24"/>
        </w:rPr>
        <w:t>,</w:t>
      </w:r>
      <w:r w:rsidR="003E5E40">
        <w:rPr>
          <w:rFonts w:ascii="Times New Roman" w:hAnsi="Times New Roman" w:cs="Times New Roman"/>
          <w:sz w:val="24"/>
          <w:szCs w:val="24"/>
        </w:rPr>
        <w:t xml:space="preserve"> therefore</w:t>
      </w:r>
      <w:r w:rsidR="00096DC4">
        <w:rPr>
          <w:rFonts w:ascii="Times New Roman" w:hAnsi="Times New Roman" w:cs="Times New Roman"/>
          <w:sz w:val="24"/>
          <w:szCs w:val="24"/>
        </w:rPr>
        <w:t>,</w:t>
      </w:r>
      <w:r w:rsidR="003E5E40">
        <w:rPr>
          <w:rFonts w:ascii="Times New Roman" w:hAnsi="Times New Roman" w:cs="Times New Roman"/>
          <w:sz w:val="24"/>
          <w:szCs w:val="24"/>
        </w:rPr>
        <w:t xml:space="preserve"> agreed to have the property </w:t>
      </w:r>
      <w:r w:rsidR="00450B7F">
        <w:rPr>
          <w:rFonts w:ascii="Times New Roman" w:hAnsi="Times New Roman" w:cs="Times New Roman"/>
          <w:sz w:val="24"/>
          <w:szCs w:val="24"/>
        </w:rPr>
        <w:t>s</w:t>
      </w:r>
      <w:r w:rsidR="003E5E40">
        <w:rPr>
          <w:rFonts w:ascii="Times New Roman" w:hAnsi="Times New Roman" w:cs="Times New Roman"/>
          <w:sz w:val="24"/>
          <w:szCs w:val="24"/>
        </w:rPr>
        <w:t xml:space="preserve">old to the </w:t>
      </w:r>
      <w:r w:rsidR="00096DC4">
        <w:rPr>
          <w:rFonts w:ascii="Times New Roman" w:hAnsi="Times New Roman" w:cs="Times New Roman"/>
          <w:sz w:val="24"/>
          <w:szCs w:val="24"/>
        </w:rPr>
        <w:t>F</w:t>
      </w:r>
      <w:r w:rsidR="003E5E40">
        <w:rPr>
          <w:rFonts w:ascii="Times New Roman" w:hAnsi="Times New Roman" w:cs="Times New Roman"/>
          <w:sz w:val="24"/>
          <w:szCs w:val="24"/>
        </w:rPr>
        <w:t>und because it wanted to benefit from the sale.</w:t>
      </w:r>
    </w:p>
    <w:p w:rsidR="008F489B" w:rsidRPr="000C1582" w:rsidRDefault="008F489B" w:rsidP="008F489B">
      <w:pPr>
        <w:spacing w:after="0" w:line="360" w:lineRule="auto"/>
        <w:jc w:val="both"/>
        <w:rPr>
          <w:rFonts w:ascii="Times New Roman" w:hAnsi="Times New Roman" w:cs="Times New Roman"/>
          <w:sz w:val="24"/>
          <w:szCs w:val="24"/>
        </w:rPr>
      </w:pPr>
      <w:r w:rsidRPr="000C1582">
        <w:rPr>
          <w:rFonts w:ascii="Times New Roman" w:hAnsi="Times New Roman" w:cs="Times New Roman"/>
          <w:sz w:val="24"/>
          <w:szCs w:val="24"/>
        </w:rPr>
        <w:tab/>
        <w:t>The fact that it failed to repurchase the property during the period which extends from 20 December 2016 to 20 December 2017 necessitating the parties to execute an addendum ex</w:t>
      </w:r>
      <w:r>
        <w:rPr>
          <w:rFonts w:ascii="Times New Roman" w:hAnsi="Times New Roman" w:cs="Times New Roman"/>
          <w:sz w:val="24"/>
          <w:szCs w:val="24"/>
        </w:rPr>
        <w:t>t</w:t>
      </w:r>
      <w:r w:rsidRPr="000C1582">
        <w:rPr>
          <w:rFonts w:ascii="Times New Roman" w:hAnsi="Times New Roman" w:cs="Times New Roman"/>
          <w:sz w:val="24"/>
          <w:szCs w:val="24"/>
        </w:rPr>
        <w:t xml:space="preserve">ending the period within which it would exercise its option to repurchase the same </w:t>
      </w:r>
      <w:r w:rsidR="00032D5F">
        <w:rPr>
          <w:rFonts w:ascii="Times New Roman" w:hAnsi="Times New Roman" w:cs="Times New Roman"/>
          <w:sz w:val="24"/>
          <w:szCs w:val="24"/>
        </w:rPr>
        <w:t>by</w:t>
      </w:r>
      <w:r w:rsidRPr="000C1582">
        <w:rPr>
          <w:rFonts w:ascii="Times New Roman" w:hAnsi="Times New Roman" w:cs="Times New Roman"/>
          <w:sz w:val="24"/>
          <w:szCs w:val="24"/>
        </w:rPr>
        <w:t xml:space="preserve"> a further two months confirms it</w:t>
      </w:r>
      <w:r>
        <w:rPr>
          <w:rFonts w:ascii="Times New Roman" w:hAnsi="Times New Roman" w:cs="Times New Roman"/>
          <w:sz w:val="24"/>
          <w:szCs w:val="24"/>
        </w:rPr>
        <w:t>s</w:t>
      </w:r>
      <w:r w:rsidRPr="000C1582">
        <w:rPr>
          <w:rFonts w:ascii="Times New Roman" w:hAnsi="Times New Roman" w:cs="Times New Roman"/>
          <w:sz w:val="24"/>
          <w:szCs w:val="24"/>
        </w:rPr>
        <w:t xml:space="preserve"> incapacity to pay of</w:t>
      </w:r>
      <w:r>
        <w:rPr>
          <w:rFonts w:ascii="Times New Roman" w:hAnsi="Times New Roman" w:cs="Times New Roman"/>
          <w:sz w:val="24"/>
          <w:szCs w:val="24"/>
        </w:rPr>
        <w:t>f</w:t>
      </w:r>
      <w:r w:rsidRPr="000C1582">
        <w:rPr>
          <w:rFonts w:ascii="Times New Roman" w:hAnsi="Times New Roman" w:cs="Times New Roman"/>
          <w:sz w:val="24"/>
          <w:szCs w:val="24"/>
        </w:rPr>
        <w:t xml:space="preserve"> the debt. Its inability to pay what it owed to the first respondent left it with no op</w:t>
      </w:r>
      <w:r>
        <w:rPr>
          <w:rFonts w:ascii="Times New Roman" w:hAnsi="Times New Roman" w:cs="Times New Roman"/>
          <w:sz w:val="24"/>
          <w:szCs w:val="24"/>
        </w:rPr>
        <w:t>t</w:t>
      </w:r>
      <w:r w:rsidRPr="000C1582">
        <w:rPr>
          <w:rFonts w:ascii="Times New Roman" w:hAnsi="Times New Roman" w:cs="Times New Roman"/>
          <w:sz w:val="24"/>
          <w:szCs w:val="24"/>
        </w:rPr>
        <w:t xml:space="preserve">ion but to consent to the sale of the property to the </w:t>
      </w:r>
      <w:r w:rsidR="00032D5F" w:rsidRPr="000C1582">
        <w:rPr>
          <w:rFonts w:ascii="Times New Roman" w:hAnsi="Times New Roman" w:cs="Times New Roman"/>
          <w:sz w:val="24"/>
          <w:szCs w:val="24"/>
        </w:rPr>
        <w:t>F</w:t>
      </w:r>
      <w:r w:rsidRPr="000C1582">
        <w:rPr>
          <w:rFonts w:ascii="Times New Roman" w:hAnsi="Times New Roman" w:cs="Times New Roman"/>
          <w:sz w:val="24"/>
          <w:szCs w:val="24"/>
        </w:rPr>
        <w:t>und by the first respondent</w:t>
      </w:r>
      <w:r>
        <w:rPr>
          <w:rFonts w:ascii="Times New Roman" w:hAnsi="Times New Roman" w:cs="Times New Roman"/>
          <w:sz w:val="24"/>
          <w:szCs w:val="24"/>
        </w:rPr>
        <w:t>.</w:t>
      </w:r>
      <w:r w:rsidRPr="000C1582">
        <w:rPr>
          <w:rFonts w:ascii="Times New Roman" w:hAnsi="Times New Roman" w:cs="Times New Roman"/>
          <w:sz w:val="24"/>
          <w:szCs w:val="24"/>
        </w:rPr>
        <w:t xml:space="preserve"> The sale is</w:t>
      </w:r>
      <w:r w:rsidR="00032D5F">
        <w:rPr>
          <w:rFonts w:ascii="Times New Roman" w:hAnsi="Times New Roman" w:cs="Times New Roman"/>
          <w:sz w:val="24"/>
          <w:szCs w:val="24"/>
        </w:rPr>
        <w:t>,</w:t>
      </w:r>
      <w:r w:rsidRPr="000C1582">
        <w:rPr>
          <w:rFonts w:ascii="Times New Roman" w:hAnsi="Times New Roman" w:cs="Times New Roman"/>
          <w:sz w:val="24"/>
          <w:szCs w:val="24"/>
        </w:rPr>
        <w:t xml:space="preserve"> to all inten</w:t>
      </w:r>
      <w:r>
        <w:rPr>
          <w:rFonts w:ascii="Times New Roman" w:hAnsi="Times New Roman" w:cs="Times New Roman"/>
          <w:sz w:val="24"/>
          <w:szCs w:val="24"/>
        </w:rPr>
        <w:t>d</w:t>
      </w:r>
      <w:r w:rsidRPr="000C1582">
        <w:rPr>
          <w:rFonts w:ascii="Times New Roman" w:hAnsi="Times New Roman" w:cs="Times New Roman"/>
          <w:sz w:val="24"/>
          <w:szCs w:val="24"/>
        </w:rPr>
        <w:t>s and purposes</w:t>
      </w:r>
      <w:r w:rsidR="00032D5F">
        <w:rPr>
          <w:rFonts w:ascii="Times New Roman" w:hAnsi="Times New Roman" w:cs="Times New Roman"/>
          <w:sz w:val="24"/>
          <w:szCs w:val="24"/>
        </w:rPr>
        <w:t>,</w:t>
      </w:r>
      <w:r w:rsidRPr="000C1582">
        <w:rPr>
          <w:rFonts w:ascii="Times New Roman" w:hAnsi="Times New Roman" w:cs="Times New Roman"/>
          <w:sz w:val="24"/>
          <w:szCs w:val="24"/>
        </w:rPr>
        <w:t xml:space="preserve"> not a loan settlement as the applicant suggests. It is a proper sale which arose out of circumstances which were beyond the control of the applicant.</w:t>
      </w:r>
    </w:p>
    <w:p w:rsidR="008F489B" w:rsidRPr="000C1582" w:rsidRDefault="008F489B" w:rsidP="008F489B">
      <w:pPr>
        <w:spacing w:after="0" w:line="360" w:lineRule="auto"/>
        <w:jc w:val="both"/>
        <w:rPr>
          <w:rFonts w:ascii="Times New Roman" w:hAnsi="Times New Roman" w:cs="Times New Roman"/>
          <w:sz w:val="24"/>
          <w:szCs w:val="24"/>
        </w:rPr>
      </w:pPr>
      <w:r w:rsidRPr="000C1582">
        <w:rPr>
          <w:rFonts w:ascii="Times New Roman" w:hAnsi="Times New Roman" w:cs="Times New Roman"/>
          <w:sz w:val="24"/>
          <w:szCs w:val="24"/>
        </w:rPr>
        <w:tab/>
        <w:t>It is my observation that the applicant grounded its case more in the law of contract than under the section in terms of which i</w:t>
      </w:r>
      <w:r>
        <w:rPr>
          <w:rFonts w:ascii="Times New Roman" w:hAnsi="Times New Roman" w:cs="Times New Roman"/>
          <w:sz w:val="24"/>
          <w:szCs w:val="24"/>
        </w:rPr>
        <w:t>t</w:t>
      </w:r>
      <w:r w:rsidRPr="000C1582">
        <w:rPr>
          <w:rFonts w:ascii="Times New Roman" w:hAnsi="Times New Roman" w:cs="Times New Roman"/>
          <w:sz w:val="24"/>
          <w:szCs w:val="24"/>
        </w:rPr>
        <w:t xml:space="preserve"> filed this application. It imputes frau</w:t>
      </w:r>
      <w:r>
        <w:rPr>
          <w:rFonts w:ascii="Times New Roman" w:hAnsi="Times New Roman" w:cs="Times New Roman"/>
          <w:sz w:val="24"/>
          <w:szCs w:val="24"/>
        </w:rPr>
        <w:t>d</w:t>
      </w:r>
      <w:r w:rsidRPr="000C1582">
        <w:rPr>
          <w:rFonts w:ascii="Times New Roman" w:hAnsi="Times New Roman" w:cs="Times New Roman"/>
          <w:sz w:val="24"/>
          <w:szCs w:val="24"/>
        </w:rPr>
        <w:t xml:space="preserve"> on the part of the first respondent. It insists that the first respondent breached the contract which it concluded with it on 23 February, 2018. The contract, it avers</w:t>
      </w:r>
      <w:r w:rsidR="00032D5F">
        <w:rPr>
          <w:rFonts w:ascii="Times New Roman" w:hAnsi="Times New Roman" w:cs="Times New Roman"/>
          <w:sz w:val="24"/>
          <w:szCs w:val="24"/>
        </w:rPr>
        <w:t>, c</w:t>
      </w:r>
      <w:r w:rsidRPr="000C1582">
        <w:rPr>
          <w:rFonts w:ascii="Times New Roman" w:hAnsi="Times New Roman" w:cs="Times New Roman"/>
          <w:sz w:val="24"/>
          <w:szCs w:val="24"/>
        </w:rPr>
        <w:t>alled upon it to pay either capital gains ta</w:t>
      </w:r>
      <w:r>
        <w:rPr>
          <w:rFonts w:ascii="Times New Roman" w:hAnsi="Times New Roman" w:cs="Times New Roman"/>
          <w:sz w:val="24"/>
          <w:szCs w:val="24"/>
        </w:rPr>
        <w:t>x</w:t>
      </w:r>
      <w:r w:rsidRPr="000C1582">
        <w:rPr>
          <w:rFonts w:ascii="Times New Roman" w:hAnsi="Times New Roman" w:cs="Times New Roman"/>
          <w:sz w:val="24"/>
          <w:szCs w:val="24"/>
        </w:rPr>
        <w:t xml:space="preserve"> or value added tax and not both taxes. Its case is, therefore, mor</w:t>
      </w:r>
      <w:r>
        <w:rPr>
          <w:rFonts w:ascii="Times New Roman" w:hAnsi="Times New Roman" w:cs="Times New Roman"/>
          <w:sz w:val="24"/>
          <w:szCs w:val="24"/>
        </w:rPr>
        <w:t>e</w:t>
      </w:r>
      <w:r w:rsidRPr="000C1582">
        <w:rPr>
          <w:rFonts w:ascii="Times New Roman" w:hAnsi="Times New Roman" w:cs="Times New Roman"/>
          <w:sz w:val="24"/>
          <w:szCs w:val="24"/>
        </w:rPr>
        <w:t xml:space="preserve"> against the first respondent than it is against the second respondent.</w:t>
      </w:r>
    </w:p>
    <w:p w:rsidR="008F489B" w:rsidRPr="000C1582" w:rsidRDefault="008F489B" w:rsidP="008F489B">
      <w:pPr>
        <w:spacing w:after="0" w:line="360" w:lineRule="auto"/>
        <w:jc w:val="both"/>
        <w:rPr>
          <w:rFonts w:ascii="Times New Roman" w:hAnsi="Times New Roman" w:cs="Times New Roman"/>
          <w:sz w:val="24"/>
          <w:szCs w:val="24"/>
        </w:rPr>
      </w:pPr>
      <w:r w:rsidRPr="000C1582">
        <w:rPr>
          <w:rFonts w:ascii="Times New Roman" w:hAnsi="Times New Roman" w:cs="Times New Roman"/>
          <w:sz w:val="24"/>
          <w:szCs w:val="24"/>
        </w:rPr>
        <w:tab/>
        <w:t>Given that the second respondent is not privy to the contract of 23 February, 2018 one is left to wonder why the applicant dragged the second resp</w:t>
      </w:r>
      <w:r>
        <w:rPr>
          <w:rFonts w:ascii="Times New Roman" w:hAnsi="Times New Roman" w:cs="Times New Roman"/>
          <w:sz w:val="24"/>
          <w:szCs w:val="24"/>
        </w:rPr>
        <w:t>on</w:t>
      </w:r>
      <w:r w:rsidRPr="000C1582">
        <w:rPr>
          <w:rFonts w:ascii="Times New Roman" w:hAnsi="Times New Roman" w:cs="Times New Roman"/>
          <w:sz w:val="24"/>
          <w:szCs w:val="24"/>
        </w:rPr>
        <w:t>de</w:t>
      </w:r>
      <w:r>
        <w:rPr>
          <w:rFonts w:ascii="Times New Roman" w:hAnsi="Times New Roman" w:cs="Times New Roman"/>
          <w:sz w:val="24"/>
          <w:szCs w:val="24"/>
        </w:rPr>
        <w:t>n</w:t>
      </w:r>
      <w:r w:rsidRPr="000C1582">
        <w:rPr>
          <w:rFonts w:ascii="Times New Roman" w:hAnsi="Times New Roman" w:cs="Times New Roman"/>
          <w:sz w:val="24"/>
          <w:szCs w:val="24"/>
        </w:rPr>
        <w:t>t into a matter which it has nothing to do with. The application is, to the stated extent, misdirected.</w:t>
      </w:r>
    </w:p>
    <w:p w:rsidR="008F489B" w:rsidRPr="000C1582" w:rsidRDefault="008F489B" w:rsidP="008F489B">
      <w:pPr>
        <w:spacing w:after="0" w:line="360" w:lineRule="auto"/>
        <w:jc w:val="both"/>
        <w:rPr>
          <w:rFonts w:ascii="Times New Roman" w:hAnsi="Times New Roman" w:cs="Times New Roman"/>
          <w:sz w:val="24"/>
          <w:szCs w:val="24"/>
        </w:rPr>
      </w:pPr>
      <w:r w:rsidRPr="000C1582">
        <w:rPr>
          <w:rFonts w:ascii="Times New Roman" w:hAnsi="Times New Roman" w:cs="Times New Roman"/>
          <w:sz w:val="24"/>
          <w:szCs w:val="24"/>
        </w:rPr>
        <w:tab/>
        <w:t>The applicant cannot argue competently on whet</w:t>
      </w:r>
      <w:r>
        <w:rPr>
          <w:rFonts w:ascii="Times New Roman" w:hAnsi="Times New Roman" w:cs="Times New Roman"/>
          <w:sz w:val="24"/>
          <w:szCs w:val="24"/>
        </w:rPr>
        <w:t>her</w:t>
      </w:r>
      <w:r w:rsidRPr="000C1582">
        <w:rPr>
          <w:rFonts w:ascii="Times New Roman" w:hAnsi="Times New Roman" w:cs="Times New Roman"/>
          <w:sz w:val="24"/>
          <w:szCs w:val="24"/>
        </w:rPr>
        <w:t xml:space="preserve"> or not the transaction which forms the ba</w:t>
      </w:r>
      <w:r>
        <w:rPr>
          <w:rFonts w:ascii="Times New Roman" w:hAnsi="Times New Roman" w:cs="Times New Roman"/>
          <w:sz w:val="24"/>
          <w:szCs w:val="24"/>
        </w:rPr>
        <w:t>s</w:t>
      </w:r>
      <w:r w:rsidRPr="000C1582">
        <w:rPr>
          <w:rFonts w:ascii="Times New Roman" w:hAnsi="Times New Roman" w:cs="Times New Roman"/>
          <w:sz w:val="24"/>
          <w:szCs w:val="24"/>
        </w:rPr>
        <w:t>is of its application attracts</w:t>
      </w:r>
      <w:r>
        <w:rPr>
          <w:rFonts w:ascii="Times New Roman" w:hAnsi="Times New Roman" w:cs="Times New Roman"/>
          <w:sz w:val="24"/>
          <w:szCs w:val="24"/>
        </w:rPr>
        <w:t xml:space="preserve"> </w:t>
      </w:r>
      <w:r w:rsidRPr="000C1582">
        <w:rPr>
          <w:rFonts w:ascii="Times New Roman" w:hAnsi="Times New Roman" w:cs="Times New Roman"/>
          <w:sz w:val="24"/>
          <w:szCs w:val="24"/>
        </w:rPr>
        <w:t>value added tax in addition to capital gains tax which the second respondent demanded from the first respondent.</w:t>
      </w:r>
    </w:p>
    <w:p w:rsidR="008F489B" w:rsidRPr="000C1582" w:rsidRDefault="008F489B" w:rsidP="008F489B">
      <w:pPr>
        <w:spacing w:after="0" w:line="360" w:lineRule="auto"/>
        <w:jc w:val="both"/>
        <w:rPr>
          <w:rFonts w:ascii="Times New Roman" w:hAnsi="Times New Roman" w:cs="Times New Roman"/>
          <w:sz w:val="24"/>
          <w:szCs w:val="24"/>
        </w:rPr>
      </w:pPr>
      <w:r w:rsidRPr="000C1582">
        <w:rPr>
          <w:rFonts w:ascii="Times New Roman" w:hAnsi="Times New Roman" w:cs="Times New Roman"/>
          <w:sz w:val="24"/>
          <w:szCs w:val="24"/>
        </w:rPr>
        <w:tab/>
        <w:t>The second respondent</w:t>
      </w:r>
      <w:r w:rsidR="00DC5AEE">
        <w:rPr>
          <w:rFonts w:ascii="Times New Roman" w:hAnsi="Times New Roman" w:cs="Times New Roman"/>
          <w:sz w:val="24"/>
          <w:szCs w:val="24"/>
        </w:rPr>
        <w:t>,</w:t>
      </w:r>
      <w:r w:rsidRPr="000C1582">
        <w:rPr>
          <w:rFonts w:ascii="Times New Roman" w:hAnsi="Times New Roman" w:cs="Times New Roman"/>
          <w:sz w:val="24"/>
          <w:szCs w:val="24"/>
        </w:rPr>
        <w:t xml:space="preserve"> as a collector of taxes</w:t>
      </w:r>
      <w:r w:rsidR="00DC5AEE">
        <w:rPr>
          <w:rFonts w:ascii="Times New Roman" w:hAnsi="Times New Roman" w:cs="Times New Roman"/>
          <w:sz w:val="24"/>
          <w:szCs w:val="24"/>
        </w:rPr>
        <w:t>,</w:t>
      </w:r>
      <w:r w:rsidRPr="000C1582">
        <w:rPr>
          <w:rFonts w:ascii="Times New Roman" w:hAnsi="Times New Roman" w:cs="Times New Roman"/>
          <w:sz w:val="24"/>
          <w:szCs w:val="24"/>
        </w:rPr>
        <w:t xml:space="preserve"> owed no duty to the applicant to explain the fact of whether or not value added tax was/is payable on the property. It owed that duty to no one else but to the first respondent from which it demanded payment of both taxes. It was, therefore</w:t>
      </w:r>
      <w:r w:rsidR="00DC5AEE">
        <w:rPr>
          <w:rFonts w:ascii="Times New Roman" w:hAnsi="Times New Roman" w:cs="Times New Roman"/>
          <w:sz w:val="24"/>
          <w:szCs w:val="24"/>
        </w:rPr>
        <w:t>,</w:t>
      </w:r>
      <w:r w:rsidRPr="000C1582">
        <w:rPr>
          <w:rFonts w:ascii="Times New Roman" w:hAnsi="Times New Roman" w:cs="Times New Roman"/>
          <w:sz w:val="24"/>
          <w:szCs w:val="24"/>
        </w:rPr>
        <w:t xml:space="preserve"> a serious misdirection for the applicant to argue </w:t>
      </w:r>
      <w:r>
        <w:rPr>
          <w:rFonts w:ascii="Times New Roman" w:hAnsi="Times New Roman" w:cs="Times New Roman"/>
          <w:sz w:val="24"/>
          <w:szCs w:val="24"/>
        </w:rPr>
        <w:t>in</w:t>
      </w:r>
      <w:r w:rsidRPr="000C1582">
        <w:rPr>
          <w:rFonts w:ascii="Times New Roman" w:hAnsi="Times New Roman" w:cs="Times New Roman"/>
          <w:sz w:val="24"/>
          <w:szCs w:val="24"/>
        </w:rPr>
        <w:t xml:space="preserve"> the corner of the first </w:t>
      </w:r>
      <w:r w:rsidRPr="000C1582">
        <w:rPr>
          <w:rFonts w:ascii="Times New Roman" w:hAnsi="Times New Roman" w:cs="Times New Roman"/>
          <w:sz w:val="24"/>
          <w:szCs w:val="24"/>
        </w:rPr>
        <w:lastRenderedPageBreak/>
        <w:t>respondent or for it to insist</w:t>
      </w:r>
      <w:r w:rsidR="003E5E40">
        <w:rPr>
          <w:rFonts w:ascii="Times New Roman" w:hAnsi="Times New Roman" w:cs="Times New Roman"/>
          <w:sz w:val="24"/>
          <w:szCs w:val="24"/>
        </w:rPr>
        <w:t>,</w:t>
      </w:r>
      <w:r w:rsidRPr="000C1582">
        <w:rPr>
          <w:rFonts w:ascii="Times New Roman" w:hAnsi="Times New Roman" w:cs="Times New Roman"/>
          <w:sz w:val="24"/>
          <w:szCs w:val="24"/>
        </w:rPr>
        <w:t xml:space="preserve"> as it did, that, as a provider of financial services, the first respondent was/is not liable to pay value added tax. It was/is arguing from the air, as it were. Its argument fell to pieces when the first respondent’s circumstances were </w:t>
      </w:r>
      <w:r w:rsidR="002E6BD7">
        <w:rPr>
          <w:rFonts w:ascii="Times New Roman" w:hAnsi="Times New Roman" w:cs="Times New Roman"/>
          <w:sz w:val="24"/>
          <w:szCs w:val="24"/>
        </w:rPr>
        <w:t>rev</w:t>
      </w:r>
      <w:r w:rsidRPr="000C1582">
        <w:rPr>
          <w:rFonts w:ascii="Times New Roman" w:hAnsi="Times New Roman" w:cs="Times New Roman"/>
          <w:sz w:val="24"/>
          <w:szCs w:val="24"/>
        </w:rPr>
        <w:t>e</w:t>
      </w:r>
      <w:r w:rsidR="002E6BD7">
        <w:rPr>
          <w:rFonts w:ascii="Times New Roman" w:hAnsi="Times New Roman" w:cs="Times New Roman"/>
          <w:sz w:val="24"/>
          <w:szCs w:val="24"/>
        </w:rPr>
        <w:t>ale</w:t>
      </w:r>
      <w:r w:rsidRPr="000C1582">
        <w:rPr>
          <w:rFonts w:ascii="Times New Roman" w:hAnsi="Times New Roman" w:cs="Times New Roman"/>
          <w:sz w:val="24"/>
          <w:szCs w:val="24"/>
        </w:rPr>
        <w:t>d to it by b</w:t>
      </w:r>
      <w:r>
        <w:rPr>
          <w:rFonts w:ascii="Times New Roman" w:hAnsi="Times New Roman" w:cs="Times New Roman"/>
          <w:sz w:val="24"/>
          <w:szCs w:val="24"/>
        </w:rPr>
        <w:t>o</w:t>
      </w:r>
      <w:r w:rsidRPr="000C1582">
        <w:rPr>
          <w:rFonts w:ascii="Times New Roman" w:hAnsi="Times New Roman" w:cs="Times New Roman"/>
          <w:sz w:val="24"/>
          <w:szCs w:val="24"/>
        </w:rPr>
        <w:t>th respondents.</w:t>
      </w:r>
    </w:p>
    <w:p w:rsidR="008F489B" w:rsidRPr="000C1582" w:rsidRDefault="008F489B" w:rsidP="008F489B">
      <w:pPr>
        <w:spacing w:after="0" w:line="360" w:lineRule="auto"/>
        <w:jc w:val="both"/>
        <w:rPr>
          <w:rFonts w:ascii="Times New Roman" w:hAnsi="Times New Roman" w:cs="Times New Roman"/>
          <w:sz w:val="24"/>
          <w:szCs w:val="24"/>
        </w:rPr>
      </w:pPr>
      <w:r w:rsidRPr="000C1582">
        <w:rPr>
          <w:rFonts w:ascii="Times New Roman" w:hAnsi="Times New Roman" w:cs="Times New Roman"/>
          <w:sz w:val="24"/>
          <w:szCs w:val="24"/>
        </w:rPr>
        <w:tab/>
        <w:t>It is trite that a declaratory order can only be made whe</w:t>
      </w:r>
      <w:r>
        <w:rPr>
          <w:rFonts w:ascii="Times New Roman" w:hAnsi="Times New Roman" w:cs="Times New Roman"/>
          <w:sz w:val="24"/>
          <w:szCs w:val="24"/>
        </w:rPr>
        <w:t>r</w:t>
      </w:r>
      <w:r w:rsidRPr="000C1582">
        <w:rPr>
          <w:rFonts w:ascii="Times New Roman" w:hAnsi="Times New Roman" w:cs="Times New Roman"/>
          <w:sz w:val="24"/>
          <w:szCs w:val="24"/>
        </w:rPr>
        <w:t>e the applicant establishes, on a balance of probabilities</w:t>
      </w:r>
      <w:r w:rsidR="009F776E">
        <w:rPr>
          <w:rFonts w:ascii="Times New Roman" w:hAnsi="Times New Roman" w:cs="Times New Roman"/>
          <w:sz w:val="24"/>
          <w:szCs w:val="24"/>
        </w:rPr>
        <w:t>,</w:t>
      </w:r>
      <w:r w:rsidRPr="000C1582">
        <w:rPr>
          <w:rFonts w:ascii="Times New Roman" w:hAnsi="Times New Roman" w:cs="Times New Roman"/>
          <w:sz w:val="24"/>
          <w:szCs w:val="24"/>
        </w:rPr>
        <w:t xml:space="preserve"> that the respondent against whom the application is made acted outside the law. Where the respondent acted within the law, the order </w:t>
      </w:r>
      <w:r>
        <w:rPr>
          <w:rFonts w:ascii="Times New Roman" w:hAnsi="Times New Roman" w:cs="Times New Roman"/>
          <w:sz w:val="24"/>
          <w:szCs w:val="24"/>
        </w:rPr>
        <w:t xml:space="preserve">for </w:t>
      </w:r>
      <w:r w:rsidRPr="000C1582">
        <w:rPr>
          <w:rFonts w:ascii="Times New Roman" w:hAnsi="Times New Roman" w:cs="Times New Roman"/>
          <w:sz w:val="24"/>
          <w:szCs w:val="24"/>
        </w:rPr>
        <w:t>a decla</w:t>
      </w:r>
      <w:r>
        <w:rPr>
          <w:rFonts w:ascii="Times New Roman" w:hAnsi="Times New Roman" w:cs="Times New Roman"/>
          <w:sz w:val="24"/>
          <w:szCs w:val="24"/>
        </w:rPr>
        <w:t>ra</w:t>
      </w:r>
      <w:r w:rsidRPr="000C1582">
        <w:rPr>
          <w:rFonts w:ascii="Times New Roman" w:hAnsi="Times New Roman" w:cs="Times New Roman"/>
          <w:sz w:val="24"/>
          <w:szCs w:val="24"/>
        </w:rPr>
        <w:t xml:space="preserve">tur would be contrary to the public policy </w:t>
      </w:r>
      <w:r w:rsidR="007932F7" w:rsidRPr="000C1582">
        <w:rPr>
          <w:rFonts w:ascii="Times New Roman" w:hAnsi="Times New Roman" w:cs="Times New Roman"/>
          <w:sz w:val="24"/>
          <w:szCs w:val="24"/>
        </w:rPr>
        <w:t>of Zimbabwe</w:t>
      </w:r>
      <w:r w:rsidRPr="000C1582">
        <w:rPr>
          <w:rFonts w:ascii="Times New Roman" w:hAnsi="Times New Roman" w:cs="Times New Roman"/>
          <w:sz w:val="24"/>
          <w:szCs w:val="24"/>
        </w:rPr>
        <w:t>. The court cannot, in other words, declare a lawful conduct unlawful</w:t>
      </w:r>
      <w:r w:rsidR="009F776E">
        <w:rPr>
          <w:rFonts w:ascii="Times New Roman" w:hAnsi="Times New Roman" w:cs="Times New Roman"/>
          <w:sz w:val="24"/>
          <w:szCs w:val="24"/>
        </w:rPr>
        <w:t>.</w:t>
      </w:r>
    </w:p>
    <w:p w:rsidR="008F489B" w:rsidRPr="000C1582" w:rsidRDefault="008F489B" w:rsidP="008F489B">
      <w:pPr>
        <w:spacing w:after="0" w:line="360" w:lineRule="auto"/>
        <w:jc w:val="both"/>
        <w:rPr>
          <w:rFonts w:ascii="Times New Roman" w:hAnsi="Times New Roman" w:cs="Times New Roman"/>
          <w:sz w:val="24"/>
          <w:szCs w:val="24"/>
        </w:rPr>
      </w:pPr>
      <w:r w:rsidRPr="000C1582">
        <w:rPr>
          <w:rFonts w:ascii="Times New Roman" w:hAnsi="Times New Roman" w:cs="Times New Roman"/>
          <w:sz w:val="24"/>
          <w:szCs w:val="24"/>
        </w:rPr>
        <w:tab/>
        <w:t>The applicant is, in my view, the author of its misfortune</w:t>
      </w:r>
      <w:r w:rsidR="00B20B76">
        <w:rPr>
          <w:rFonts w:ascii="Times New Roman" w:hAnsi="Times New Roman" w:cs="Times New Roman"/>
          <w:sz w:val="24"/>
          <w:szCs w:val="24"/>
        </w:rPr>
        <w:t>s. I</w:t>
      </w:r>
      <w:r w:rsidRPr="000C1582">
        <w:rPr>
          <w:rFonts w:ascii="Times New Roman" w:hAnsi="Times New Roman" w:cs="Times New Roman"/>
          <w:sz w:val="24"/>
          <w:szCs w:val="24"/>
        </w:rPr>
        <w:t>t lumped together matters which should not have been combined</w:t>
      </w:r>
      <w:r>
        <w:rPr>
          <w:rFonts w:ascii="Times New Roman" w:hAnsi="Times New Roman" w:cs="Times New Roman"/>
          <w:sz w:val="24"/>
          <w:szCs w:val="24"/>
        </w:rPr>
        <w:t>.</w:t>
      </w:r>
      <w:r w:rsidRPr="000C1582">
        <w:rPr>
          <w:rFonts w:ascii="Times New Roman" w:hAnsi="Times New Roman" w:cs="Times New Roman"/>
          <w:sz w:val="24"/>
          <w:szCs w:val="24"/>
        </w:rPr>
        <w:t xml:space="preserve"> It could easily have sued the first respondent in terms of the contract which it signed with it on 23 February, 2018. Its application for a declaratur against the second respondent cannot s</w:t>
      </w:r>
      <w:r>
        <w:rPr>
          <w:rFonts w:ascii="Times New Roman" w:hAnsi="Times New Roman" w:cs="Times New Roman"/>
          <w:sz w:val="24"/>
          <w:szCs w:val="24"/>
        </w:rPr>
        <w:t>t</w:t>
      </w:r>
      <w:r w:rsidRPr="000C1582">
        <w:rPr>
          <w:rFonts w:ascii="Times New Roman" w:hAnsi="Times New Roman" w:cs="Times New Roman"/>
          <w:sz w:val="24"/>
          <w:szCs w:val="24"/>
        </w:rPr>
        <w:t>and. It failed to show that the second respondent acted outside the law which it is enjoined to enforce.</w:t>
      </w:r>
    </w:p>
    <w:p w:rsidR="008F489B" w:rsidRDefault="008F489B" w:rsidP="008F489B">
      <w:pPr>
        <w:spacing w:after="0" w:line="360" w:lineRule="auto"/>
        <w:jc w:val="both"/>
        <w:rPr>
          <w:rFonts w:ascii="Times New Roman" w:hAnsi="Times New Roman" w:cs="Times New Roman"/>
          <w:sz w:val="24"/>
          <w:szCs w:val="24"/>
        </w:rPr>
      </w:pPr>
      <w:r w:rsidRPr="000C1582">
        <w:rPr>
          <w:rFonts w:ascii="Times New Roman" w:hAnsi="Times New Roman" w:cs="Times New Roman"/>
          <w:sz w:val="24"/>
          <w:szCs w:val="24"/>
        </w:rPr>
        <w:tab/>
      </w:r>
      <w:r>
        <w:rPr>
          <w:rFonts w:ascii="Times New Roman" w:hAnsi="Times New Roman" w:cs="Times New Roman"/>
          <w:sz w:val="24"/>
          <w:szCs w:val="24"/>
        </w:rPr>
        <w:t>T</w:t>
      </w:r>
      <w:r w:rsidRPr="000C1582">
        <w:rPr>
          <w:rFonts w:ascii="Times New Roman" w:hAnsi="Times New Roman" w:cs="Times New Roman"/>
          <w:sz w:val="24"/>
          <w:szCs w:val="24"/>
        </w:rPr>
        <w:t xml:space="preserve">he issue of the applicant and the first respondent falls into the area of the law of contract. </w:t>
      </w:r>
      <w:r w:rsidR="009F776E">
        <w:rPr>
          <w:rFonts w:ascii="Times New Roman" w:hAnsi="Times New Roman" w:cs="Times New Roman"/>
          <w:sz w:val="24"/>
          <w:szCs w:val="24"/>
        </w:rPr>
        <w:t>The applicant’s</w:t>
      </w:r>
      <w:r w:rsidRPr="000C1582">
        <w:rPr>
          <w:rFonts w:ascii="Times New Roman" w:hAnsi="Times New Roman" w:cs="Times New Roman"/>
          <w:sz w:val="24"/>
          <w:szCs w:val="24"/>
        </w:rPr>
        <w:t xml:space="preserve"> allegation is that the first respondent breached the contract which the two of them signed on 23 February, 2018. </w:t>
      </w:r>
      <w:r w:rsidR="009F776E">
        <w:rPr>
          <w:rFonts w:ascii="Times New Roman" w:hAnsi="Times New Roman" w:cs="Times New Roman"/>
          <w:sz w:val="24"/>
          <w:szCs w:val="24"/>
        </w:rPr>
        <w:t>It does not say that the first respondent violated the constitution of Zimbabwe or any other</w:t>
      </w:r>
      <w:r w:rsidRPr="000C1582">
        <w:rPr>
          <w:rFonts w:ascii="Times New Roman" w:hAnsi="Times New Roman" w:cs="Times New Roman"/>
          <w:sz w:val="24"/>
          <w:szCs w:val="24"/>
        </w:rPr>
        <w:t xml:space="preserve"> </w:t>
      </w:r>
      <w:r w:rsidR="003E5E40">
        <w:rPr>
          <w:rFonts w:ascii="Times New Roman" w:hAnsi="Times New Roman" w:cs="Times New Roman"/>
          <w:sz w:val="24"/>
          <w:szCs w:val="24"/>
        </w:rPr>
        <w:t>statutory law</w:t>
      </w:r>
      <w:r w:rsidRPr="000C1582">
        <w:rPr>
          <w:rFonts w:ascii="Times New Roman" w:hAnsi="Times New Roman" w:cs="Times New Roman"/>
          <w:sz w:val="24"/>
          <w:szCs w:val="24"/>
        </w:rPr>
        <w:t xml:space="preserve">. No declaration, therefore, arises out of the described </w:t>
      </w:r>
      <w:r w:rsidR="003E5E40">
        <w:rPr>
          <w:rFonts w:ascii="Times New Roman" w:hAnsi="Times New Roman" w:cs="Times New Roman"/>
          <w:sz w:val="24"/>
          <w:szCs w:val="24"/>
        </w:rPr>
        <w:t>set</w:t>
      </w:r>
      <w:r w:rsidRPr="000C1582">
        <w:rPr>
          <w:rFonts w:ascii="Times New Roman" w:hAnsi="Times New Roman" w:cs="Times New Roman"/>
          <w:sz w:val="24"/>
          <w:szCs w:val="24"/>
        </w:rPr>
        <w:t xml:space="preserve"> of circumstances. What appropriately arises is a suit by the applicant for breach of contract.</w:t>
      </w:r>
    </w:p>
    <w:p w:rsidR="003E5E40" w:rsidRPr="000C1582" w:rsidRDefault="003E5E40" w:rsidP="008F4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follows</w:t>
      </w:r>
      <w:r w:rsidR="002E6BD7">
        <w:rPr>
          <w:rFonts w:ascii="Times New Roman" w:hAnsi="Times New Roman" w:cs="Times New Roman"/>
          <w:sz w:val="24"/>
          <w:szCs w:val="24"/>
        </w:rPr>
        <w:t>,</w:t>
      </w:r>
      <w:r>
        <w:rPr>
          <w:rFonts w:ascii="Times New Roman" w:hAnsi="Times New Roman" w:cs="Times New Roman"/>
          <w:sz w:val="24"/>
          <w:szCs w:val="24"/>
        </w:rPr>
        <w:t xml:space="preserve"> from the foregoing that, although the default of the first respondent entitles the applicant to have judgment entered in its favour, the </w:t>
      </w:r>
      <w:r w:rsidR="00684810">
        <w:rPr>
          <w:rFonts w:ascii="Times New Roman" w:hAnsi="Times New Roman" w:cs="Times New Roman"/>
          <w:sz w:val="24"/>
          <w:szCs w:val="24"/>
        </w:rPr>
        <w:t>same</w:t>
      </w:r>
      <w:r>
        <w:rPr>
          <w:rFonts w:ascii="Times New Roman" w:hAnsi="Times New Roman" w:cs="Times New Roman"/>
          <w:sz w:val="24"/>
          <w:szCs w:val="24"/>
        </w:rPr>
        <w:t xml:space="preserve"> cannot be granted on the strength of the application which is before me. The first respondent might have breached its contract with the applicant, but the breach, if such e</w:t>
      </w:r>
      <w:r w:rsidR="00096DC4">
        <w:rPr>
          <w:rFonts w:ascii="Times New Roman" w:hAnsi="Times New Roman" w:cs="Times New Roman"/>
          <w:sz w:val="24"/>
          <w:szCs w:val="24"/>
        </w:rPr>
        <w:t>xist</w:t>
      </w:r>
      <w:r>
        <w:rPr>
          <w:rFonts w:ascii="Times New Roman" w:hAnsi="Times New Roman" w:cs="Times New Roman"/>
          <w:sz w:val="24"/>
          <w:szCs w:val="24"/>
        </w:rPr>
        <w:t xml:space="preserve">s, cannot translate into what </w:t>
      </w:r>
      <w:r w:rsidR="00B20B76">
        <w:rPr>
          <w:rFonts w:ascii="Times New Roman" w:hAnsi="Times New Roman" w:cs="Times New Roman"/>
          <w:sz w:val="24"/>
          <w:szCs w:val="24"/>
        </w:rPr>
        <w:t>is</w:t>
      </w:r>
      <w:r>
        <w:rPr>
          <w:rFonts w:ascii="Times New Roman" w:hAnsi="Times New Roman" w:cs="Times New Roman"/>
          <w:sz w:val="24"/>
          <w:szCs w:val="24"/>
        </w:rPr>
        <w:t xml:space="preserve"> </w:t>
      </w:r>
      <w:r w:rsidR="00684810">
        <w:rPr>
          <w:rFonts w:ascii="Times New Roman" w:hAnsi="Times New Roman" w:cs="Times New Roman"/>
          <w:sz w:val="24"/>
          <w:szCs w:val="24"/>
        </w:rPr>
        <w:t>normally</w:t>
      </w:r>
      <w:r>
        <w:rPr>
          <w:rFonts w:ascii="Times New Roman" w:hAnsi="Times New Roman" w:cs="Times New Roman"/>
          <w:sz w:val="24"/>
          <w:szCs w:val="24"/>
        </w:rPr>
        <w:t xml:space="preserve"> regarded as unlawful conduct. It is, as </w:t>
      </w:r>
      <w:r w:rsidR="00B20B76">
        <w:rPr>
          <w:rFonts w:ascii="Times New Roman" w:hAnsi="Times New Roman" w:cs="Times New Roman"/>
          <w:sz w:val="24"/>
          <w:szCs w:val="24"/>
        </w:rPr>
        <w:t>its name</w:t>
      </w:r>
      <w:r w:rsidR="00684810">
        <w:rPr>
          <w:rFonts w:ascii="Times New Roman" w:hAnsi="Times New Roman" w:cs="Times New Roman"/>
          <w:sz w:val="24"/>
          <w:szCs w:val="24"/>
        </w:rPr>
        <w:t xml:space="preserve"> suggests, nothing but a breach which does not fall into the family of unlawful conduct as is stipulated in the country’s constitution or in statutory legislation.</w:t>
      </w:r>
    </w:p>
    <w:p w:rsidR="008F489B" w:rsidRPr="000C1582" w:rsidRDefault="008F489B" w:rsidP="008F489B">
      <w:pPr>
        <w:spacing w:after="0" w:line="360" w:lineRule="auto"/>
        <w:jc w:val="both"/>
        <w:rPr>
          <w:rFonts w:ascii="Times New Roman" w:hAnsi="Times New Roman" w:cs="Times New Roman"/>
          <w:sz w:val="24"/>
          <w:szCs w:val="24"/>
        </w:rPr>
      </w:pPr>
      <w:r w:rsidRPr="000C1582">
        <w:rPr>
          <w:rFonts w:ascii="Times New Roman" w:hAnsi="Times New Roman" w:cs="Times New Roman"/>
          <w:sz w:val="24"/>
          <w:szCs w:val="24"/>
        </w:rPr>
        <w:tab/>
        <w:t>Th</w:t>
      </w:r>
      <w:r>
        <w:rPr>
          <w:rFonts w:ascii="Times New Roman" w:hAnsi="Times New Roman" w:cs="Times New Roman"/>
          <w:sz w:val="24"/>
          <w:szCs w:val="24"/>
        </w:rPr>
        <w:t>e</w:t>
      </w:r>
      <w:r w:rsidRPr="000C1582">
        <w:rPr>
          <w:rFonts w:ascii="Times New Roman" w:hAnsi="Times New Roman" w:cs="Times New Roman"/>
          <w:sz w:val="24"/>
          <w:szCs w:val="24"/>
        </w:rPr>
        <w:t xml:space="preserve"> applicant failed to establish, on a balance of probabilities, its case against both respond</w:t>
      </w:r>
      <w:r>
        <w:rPr>
          <w:rFonts w:ascii="Times New Roman" w:hAnsi="Times New Roman" w:cs="Times New Roman"/>
          <w:sz w:val="24"/>
          <w:szCs w:val="24"/>
        </w:rPr>
        <w:t>e</w:t>
      </w:r>
      <w:r w:rsidRPr="000C1582">
        <w:rPr>
          <w:rFonts w:ascii="Times New Roman" w:hAnsi="Times New Roman" w:cs="Times New Roman"/>
          <w:sz w:val="24"/>
          <w:szCs w:val="24"/>
        </w:rPr>
        <w:t>nts. Its application is devoid of merit. It is</w:t>
      </w:r>
      <w:r w:rsidR="004169A1">
        <w:rPr>
          <w:rFonts w:ascii="Times New Roman" w:hAnsi="Times New Roman" w:cs="Times New Roman"/>
          <w:sz w:val="24"/>
          <w:szCs w:val="24"/>
        </w:rPr>
        <w:t>,</w:t>
      </w:r>
      <w:r w:rsidRPr="000C1582">
        <w:rPr>
          <w:rFonts w:ascii="Times New Roman" w:hAnsi="Times New Roman" w:cs="Times New Roman"/>
          <w:sz w:val="24"/>
          <w:szCs w:val="24"/>
        </w:rPr>
        <w:t xml:space="preserve"> accordingly, dismissed with costs.</w:t>
      </w:r>
    </w:p>
    <w:p w:rsidR="008F489B" w:rsidRPr="000C1582" w:rsidRDefault="005C46B2" w:rsidP="008F4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0024E" w:rsidRDefault="0090024E" w:rsidP="0090024E">
      <w:pPr>
        <w:spacing w:after="0" w:line="240" w:lineRule="auto"/>
        <w:jc w:val="both"/>
        <w:rPr>
          <w:rFonts w:ascii="Times New Roman" w:hAnsi="Times New Roman" w:cs="Times New Roman"/>
          <w:sz w:val="24"/>
          <w:szCs w:val="24"/>
        </w:rPr>
      </w:pPr>
      <w:r w:rsidRPr="0090024E">
        <w:rPr>
          <w:rFonts w:ascii="Times New Roman" w:hAnsi="Times New Roman" w:cs="Times New Roman"/>
          <w:i/>
          <w:sz w:val="24"/>
          <w:szCs w:val="24"/>
        </w:rPr>
        <w:t>Chinawa Law Chambers</w:t>
      </w:r>
      <w:r>
        <w:rPr>
          <w:rFonts w:ascii="Times New Roman" w:hAnsi="Times New Roman" w:cs="Times New Roman"/>
          <w:sz w:val="24"/>
          <w:szCs w:val="24"/>
        </w:rPr>
        <w:t>, applicant’s legal practitioners</w:t>
      </w:r>
    </w:p>
    <w:p w:rsidR="0090024E" w:rsidRDefault="0090024E" w:rsidP="0090024E">
      <w:pPr>
        <w:spacing w:after="0" w:line="240" w:lineRule="auto"/>
        <w:jc w:val="both"/>
        <w:rPr>
          <w:rFonts w:ascii="Times New Roman" w:hAnsi="Times New Roman" w:cs="Times New Roman"/>
          <w:sz w:val="24"/>
          <w:szCs w:val="24"/>
        </w:rPr>
      </w:pPr>
      <w:r w:rsidRPr="0090024E">
        <w:rPr>
          <w:rFonts w:ascii="Times New Roman" w:hAnsi="Times New Roman" w:cs="Times New Roman"/>
          <w:i/>
          <w:sz w:val="24"/>
          <w:szCs w:val="24"/>
        </w:rPr>
        <w:t>Mawere Sibanda</w:t>
      </w:r>
      <w:r>
        <w:rPr>
          <w:rFonts w:ascii="Times New Roman" w:hAnsi="Times New Roman" w:cs="Times New Roman"/>
          <w:sz w:val="24"/>
          <w:szCs w:val="24"/>
        </w:rPr>
        <w:t>, 1</w:t>
      </w:r>
      <w:r w:rsidRPr="0090024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D332E0" w:rsidRPr="00FD1A0E" w:rsidRDefault="0090024E" w:rsidP="00D6341D">
      <w:pPr>
        <w:spacing w:after="0" w:line="240" w:lineRule="auto"/>
        <w:jc w:val="both"/>
        <w:rPr>
          <w:rFonts w:ascii="Times New Roman" w:hAnsi="Times New Roman" w:cs="Times New Roman"/>
          <w:sz w:val="24"/>
          <w:szCs w:val="24"/>
        </w:rPr>
      </w:pPr>
      <w:r w:rsidRPr="0090024E">
        <w:rPr>
          <w:rFonts w:ascii="Times New Roman" w:hAnsi="Times New Roman" w:cs="Times New Roman"/>
          <w:i/>
          <w:sz w:val="24"/>
          <w:szCs w:val="24"/>
        </w:rPr>
        <w:t>Messrs Kantor &amp; Immerman</w:t>
      </w:r>
      <w:r>
        <w:rPr>
          <w:rFonts w:ascii="Times New Roman" w:hAnsi="Times New Roman" w:cs="Times New Roman"/>
          <w:sz w:val="24"/>
          <w:szCs w:val="24"/>
        </w:rPr>
        <w:t>, 2</w:t>
      </w:r>
      <w:r w:rsidRPr="0090024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 </w:t>
      </w:r>
    </w:p>
    <w:sectPr w:rsidR="00D332E0" w:rsidRPr="00FD1A0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6D" w:rsidRDefault="00EE086D" w:rsidP="005D6D38">
      <w:pPr>
        <w:spacing w:after="0" w:line="240" w:lineRule="auto"/>
      </w:pPr>
      <w:r>
        <w:separator/>
      </w:r>
    </w:p>
  </w:endnote>
  <w:endnote w:type="continuationSeparator" w:id="0">
    <w:p w:rsidR="00EE086D" w:rsidRDefault="00EE086D" w:rsidP="005D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6D" w:rsidRDefault="00EE086D" w:rsidP="005D6D38">
      <w:pPr>
        <w:spacing w:after="0" w:line="240" w:lineRule="auto"/>
      </w:pPr>
      <w:r>
        <w:separator/>
      </w:r>
    </w:p>
  </w:footnote>
  <w:footnote w:type="continuationSeparator" w:id="0">
    <w:p w:rsidR="00EE086D" w:rsidRDefault="00EE086D" w:rsidP="005D6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498751"/>
      <w:docPartObj>
        <w:docPartGallery w:val="Page Numbers (Top of Page)"/>
        <w:docPartUnique/>
      </w:docPartObj>
    </w:sdtPr>
    <w:sdtEndPr>
      <w:rPr>
        <w:noProof/>
      </w:rPr>
    </w:sdtEndPr>
    <w:sdtContent>
      <w:p w:rsidR="00425AC9" w:rsidRDefault="00425AC9">
        <w:pPr>
          <w:pStyle w:val="Header"/>
          <w:jc w:val="right"/>
          <w:rPr>
            <w:noProof/>
          </w:rPr>
        </w:pPr>
        <w:r>
          <w:fldChar w:fldCharType="begin"/>
        </w:r>
        <w:r>
          <w:instrText xml:space="preserve"> PAGE   \* MERGEFORMAT </w:instrText>
        </w:r>
        <w:r>
          <w:fldChar w:fldCharType="separate"/>
        </w:r>
        <w:r w:rsidR="0067261D">
          <w:rPr>
            <w:noProof/>
          </w:rPr>
          <w:t>2</w:t>
        </w:r>
        <w:r>
          <w:rPr>
            <w:noProof/>
          </w:rPr>
          <w:fldChar w:fldCharType="end"/>
        </w:r>
      </w:p>
      <w:p w:rsidR="0046194B" w:rsidRDefault="00425AC9">
        <w:pPr>
          <w:pStyle w:val="Header"/>
          <w:jc w:val="right"/>
          <w:rPr>
            <w:noProof/>
          </w:rPr>
        </w:pPr>
        <w:r>
          <w:rPr>
            <w:noProof/>
          </w:rPr>
          <w:t xml:space="preserve">HH </w:t>
        </w:r>
        <w:r w:rsidR="007D00F2">
          <w:rPr>
            <w:noProof/>
          </w:rPr>
          <w:t>28-19</w:t>
        </w:r>
      </w:p>
      <w:p w:rsidR="00425AC9" w:rsidRDefault="00425AC9">
        <w:pPr>
          <w:pStyle w:val="Header"/>
          <w:jc w:val="right"/>
        </w:pPr>
        <w:r>
          <w:rPr>
            <w:noProof/>
          </w:rPr>
          <w:t xml:space="preserve">HC </w:t>
        </w:r>
        <w:r w:rsidR="0046194B">
          <w:rPr>
            <w:noProof/>
          </w:rPr>
          <w:t>6322/18</w:t>
        </w:r>
      </w:p>
    </w:sdtContent>
  </w:sdt>
  <w:p w:rsidR="00425AC9" w:rsidRDefault="00425A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163"/>
    <w:multiLevelType w:val="hybridMultilevel"/>
    <w:tmpl w:val="BEAA3A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27B7"/>
    <w:multiLevelType w:val="hybridMultilevel"/>
    <w:tmpl w:val="741E2DB8"/>
    <w:lvl w:ilvl="0" w:tplc="F21EFEFA">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204B1"/>
    <w:multiLevelType w:val="hybridMultilevel"/>
    <w:tmpl w:val="18362F14"/>
    <w:lvl w:ilvl="0" w:tplc="1EE6B3FA">
      <w:start w:val="1"/>
      <w:numFmt w:val="lowerRoman"/>
      <w:lvlText w:val="(%1)"/>
      <w:lvlJc w:val="left"/>
      <w:pPr>
        <w:ind w:left="1440" w:hanging="72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3" w15:restartNumberingAfterBreak="0">
    <w:nsid w:val="0DEA09A8"/>
    <w:multiLevelType w:val="hybridMultilevel"/>
    <w:tmpl w:val="5DCCDD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B76F2"/>
    <w:multiLevelType w:val="hybridMultilevel"/>
    <w:tmpl w:val="EAD8F6D4"/>
    <w:lvl w:ilvl="0" w:tplc="B5C86F5E">
      <w:start w:val="26"/>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1477210"/>
    <w:multiLevelType w:val="hybridMultilevel"/>
    <w:tmpl w:val="B9FCA9F8"/>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2D4732A"/>
    <w:multiLevelType w:val="hybridMultilevel"/>
    <w:tmpl w:val="D0282E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616F97"/>
    <w:multiLevelType w:val="hybridMultilevel"/>
    <w:tmpl w:val="C51E90F4"/>
    <w:lvl w:ilvl="0" w:tplc="6116F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E5EA7"/>
    <w:multiLevelType w:val="hybridMultilevel"/>
    <w:tmpl w:val="DEC838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240A6"/>
    <w:multiLevelType w:val="hybridMultilevel"/>
    <w:tmpl w:val="D80C03CC"/>
    <w:lvl w:ilvl="0" w:tplc="1CDC83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C24E41"/>
    <w:multiLevelType w:val="hybridMultilevel"/>
    <w:tmpl w:val="15049D78"/>
    <w:lvl w:ilvl="0" w:tplc="0D32729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39B51C42"/>
    <w:multiLevelType w:val="hybridMultilevel"/>
    <w:tmpl w:val="B9F0E6BA"/>
    <w:lvl w:ilvl="0" w:tplc="9E42F946">
      <w:start w:val="1"/>
      <w:numFmt w:val="lowerLetter"/>
      <w:lvlText w:val="(%1)"/>
      <w:lvlJc w:val="left"/>
      <w:pPr>
        <w:ind w:left="1800" w:hanging="360"/>
      </w:pPr>
      <w:rPr>
        <w:strike w:val="0"/>
        <w:dstrike w:val="0"/>
        <w:u w:val="none"/>
        <w:effect w:val="none"/>
      </w:rPr>
    </w:lvl>
    <w:lvl w:ilvl="1" w:tplc="30090019">
      <w:start w:val="1"/>
      <w:numFmt w:val="lowerLetter"/>
      <w:lvlText w:val="%2."/>
      <w:lvlJc w:val="left"/>
      <w:pPr>
        <w:ind w:left="2520" w:hanging="360"/>
      </w:pPr>
    </w:lvl>
    <w:lvl w:ilvl="2" w:tplc="3009001B">
      <w:start w:val="1"/>
      <w:numFmt w:val="lowerRoman"/>
      <w:lvlText w:val="%3."/>
      <w:lvlJc w:val="right"/>
      <w:pPr>
        <w:ind w:left="3240" w:hanging="180"/>
      </w:pPr>
    </w:lvl>
    <w:lvl w:ilvl="3" w:tplc="3009000F">
      <w:start w:val="1"/>
      <w:numFmt w:val="decimal"/>
      <w:lvlText w:val="%4."/>
      <w:lvlJc w:val="left"/>
      <w:pPr>
        <w:ind w:left="3960" w:hanging="360"/>
      </w:pPr>
    </w:lvl>
    <w:lvl w:ilvl="4" w:tplc="30090019">
      <w:start w:val="1"/>
      <w:numFmt w:val="lowerLetter"/>
      <w:lvlText w:val="%5."/>
      <w:lvlJc w:val="left"/>
      <w:pPr>
        <w:ind w:left="4680" w:hanging="360"/>
      </w:pPr>
    </w:lvl>
    <w:lvl w:ilvl="5" w:tplc="3009001B">
      <w:start w:val="1"/>
      <w:numFmt w:val="lowerRoman"/>
      <w:lvlText w:val="%6."/>
      <w:lvlJc w:val="right"/>
      <w:pPr>
        <w:ind w:left="5400" w:hanging="180"/>
      </w:pPr>
    </w:lvl>
    <w:lvl w:ilvl="6" w:tplc="3009000F">
      <w:start w:val="1"/>
      <w:numFmt w:val="decimal"/>
      <w:lvlText w:val="%7."/>
      <w:lvlJc w:val="left"/>
      <w:pPr>
        <w:ind w:left="6120" w:hanging="360"/>
      </w:pPr>
    </w:lvl>
    <w:lvl w:ilvl="7" w:tplc="30090019">
      <w:start w:val="1"/>
      <w:numFmt w:val="lowerLetter"/>
      <w:lvlText w:val="%8."/>
      <w:lvlJc w:val="left"/>
      <w:pPr>
        <w:ind w:left="6840" w:hanging="360"/>
      </w:pPr>
    </w:lvl>
    <w:lvl w:ilvl="8" w:tplc="3009001B">
      <w:start w:val="1"/>
      <w:numFmt w:val="lowerRoman"/>
      <w:lvlText w:val="%9."/>
      <w:lvlJc w:val="right"/>
      <w:pPr>
        <w:ind w:left="7560" w:hanging="180"/>
      </w:pPr>
    </w:lvl>
  </w:abstractNum>
  <w:abstractNum w:abstractNumId="12" w15:restartNumberingAfterBreak="0">
    <w:nsid w:val="3BC81D3A"/>
    <w:multiLevelType w:val="hybridMultilevel"/>
    <w:tmpl w:val="BD3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508BE"/>
    <w:multiLevelType w:val="hybridMultilevel"/>
    <w:tmpl w:val="00CC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223EC"/>
    <w:multiLevelType w:val="hybridMultilevel"/>
    <w:tmpl w:val="C01A447A"/>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FB7138B"/>
    <w:multiLevelType w:val="hybridMultilevel"/>
    <w:tmpl w:val="5350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80FC2"/>
    <w:multiLevelType w:val="hybridMultilevel"/>
    <w:tmpl w:val="671C3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95C9F"/>
    <w:multiLevelType w:val="hybridMultilevel"/>
    <w:tmpl w:val="02B414FE"/>
    <w:lvl w:ilvl="0" w:tplc="1A4EAAD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466422FE"/>
    <w:multiLevelType w:val="hybridMultilevel"/>
    <w:tmpl w:val="46688F78"/>
    <w:lvl w:ilvl="0" w:tplc="B60A4EB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4CC853D3"/>
    <w:multiLevelType w:val="hybridMultilevel"/>
    <w:tmpl w:val="2DF46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E7F3A"/>
    <w:multiLevelType w:val="hybridMultilevel"/>
    <w:tmpl w:val="6242F5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D03B76"/>
    <w:multiLevelType w:val="hybridMultilevel"/>
    <w:tmpl w:val="BB1E1952"/>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5B4D6124"/>
    <w:multiLevelType w:val="hybridMultilevel"/>
    <w:tmpl w:val="F50EC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22D4B"/>
    <w:multiLevelType w:val="hybridMultilevel"/>
    <w:tmpl w:val="E3189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693EAB"/>
    <w:multiLevelType w:val="hybridMultilevel"/>
    <w:tmpl w:val="D5D623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9F2E7E"/>
    <w:multiLevelType w:val="hybridMultilevel"/>
    <w:tmpl w:val="9612A62E"/>
    <w:lvl w:ilvl="0" w:tplc="B60A4E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61549"/>
    <w:multiLevelType w:val="hybridMultilevel"/>
    <w:tmpl w:val="DBD4F816"/>
    <w:lvl w:ilvl="0" w:tplc="7E143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47779E"/>
    <w:multiLevelType w:val="hybridMultilevel"/>
    <w:tmpl w:val="8A7AF0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02406E"/>
    <w:multiLevelType w:val="hybridMultilevel"/>
    <w:tmpl w:val="E5E2B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24"/>
  </w:num>
  <w:num w:numId="4">
    <w:abstractNumId w:val="21"/>
  </w:num>
  <w:num w:numId="5">
    <w:abstractNumId w:val="14"/>
  </w:num>
  <w:num w:numId="6">
    <w:abstractNumId w:val="5"/>
  </w:num>
  <w:num w:numId="7">
    <w:abstractNumId w:val="4"/>
  </w:num>
  <w:num w:numId="8">
    <w:abstractNumId w:val="16"/>
  </w:num>
  <w:num w:numId="9">
    <w:abstractNumId w:val="12"/>
  </w:num>
  <w:num w:numId="10">
    <w:abstractNumId w:val="15"/>
  </w:num>
  <w:num w:numId="11">
    <w:abstractNumId w:val="22"/>
  </w:num>
  <w:num w:numId="12">
    <w:abstractNumId w:val="3"/>
  </w:num>
  <w:num w:numId="13">
    <w:abstractNumId w:val="26"/>
  </w:num>
  <w:num w:numId="14">
    <w:abstractNumId w:val="9"/>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8"/>
  </w:num>
  <w:num w:numId="21">
    <w:abstractNumId w:val="1"/>
  </w:num>
  <w:num w:numId="22">
    <w:abstractNumId w:val="25"/>
  </w:num>
  <w:num w:numId="23">
    <w:abstractNumId w:val="0"/>
  </w:num>
  <w:num w:numId="24">
    <w:abstractNumId w:val="8"/>
  </w:num>
  <w:num w:numId="25">
    <w:abstractNumId w:val="27"/>
  </w:num>
  <w:num w:numId="26">
    <w:abstractNumId w:val="6"/>
  </w:num>
  <w:num w:numId="27">
    <w:abstractNumId w:val="28"/>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38"/>
    <w:rsid w:val="0000344D"/>
    <w:rsid w:val="0000471F"/>
    <w:rsid w:val="00016D7D"/>
    <w:rsid w:val="00022D3A"/>
    <w:rsid w:val="00024203"/>
    <w:rsid w:val="00032D5F"/>
    <w:rsid w:val="0003758C"/>
    <w:rsid w:val="00037BD9"/>
    <w:rsid w:val="000446D7"/>
    <w:rsid w:val="000454A8"/>
    <w:rsid w:val="000454DE"/>
    <w:rsid w:val="000562C9"/>
    <w:rsid w:val="00061D71"/>
    <w:rsid w:val="00063CBA"/>
    <w:rsid w:val="0006406B"/>
    <w:rsid w:val="00064A33"/>
    <w:rsid w:val="0008324F"/>
    <w:rsid w:val="00086B47"/>
    <w:rsid w:val="00096DC4"/>
    <w:rsid w:val="000A4B9A"/>
    <w:rsid w:val="000A6530"/>
    <w:rsid w:val="000C08F3"/>
    <w:rsid w:val="000C72F2"/>
    <w:rsid w:val="000D6C85"/>
    <w:rsid w:val="000F64CD"/>
    <w:rsid w:val="001055AD"/>
    <w:rsid w:val="00111818"/>
    <w:rsid w:val="00112FD9"/>
    <w:rsid w:val="00125D08"/>
    <w:rsid w:val="00137198"/>
    <w:rsid w:val="0013741A"/>
    <w:rsid w:val="00157C28"/>
    <w:rsid w:val="001602D5"/>
    <w:rsid w:val="00163D5D"/>
    <w:rsid w:val="00163F43"/>
    <w:rsid w:val="001650B3"/>
    <w:rsid w:val="0016709E"/>
    <w:rsid w:val="00167637"/>
    <w:rsid w:val="0017009C"/>
    <w:rsid w:val="001975A7"/>
    <w:rsid w:val="001A0BAA"/>
    <w:rsid w:val="001A4506"/>
    <w:rsid w:val="001A6054"/>
    <w:rsid w:val="001E04A0"/>
    <w:rsid w:val="001E0621"/>
    <w:rsid w:val="001E0F7D"/>
    <w:rsid w:val="001F5B2B"/>
    <w:rsid w:val="00220D6E"/>
    <w:rsid w:val="002317B3"/>
    <w:rsid w:val="00231E10"/>
    <w:rsid w:val="0023516A"/>
    <w:rsid w:val="00241901"/>
    <w:rsid w:val="002479F5"/>
    <w:rsid w:val="00247E3B"/>
    <w:rsid w:val="00254467"/>
    <w:rsid w:val="00254BAA"/>
    <w:rsid w:val="002808FF"/>
    <w:rsid w:val="00284FA1"/>
    <w:rsid w:val="00291897"/>
    <w:rsid w:val="00292CC3"/>
    <w:rsid w:val="0029633D"/>
    <w:rsid w:val="002A0D0D"/>
    <w:rsid w:val="002C3C90"/>
    <w:rsid w:val="002D0702"/>
    <w:rsid w:val="002D11E1"/>
    <w:rsid w:val="002E586C"/>
    <w:rsid w:val="002E6BD7"/>
    <w:rsid w:val="002F1F96"/>
    <w:rsid w:val="00300DBC"/>
    <w:rsid w:val="00306B67"/>
    <w:rsid w:val="003450E1"/>
    <w:rsid w:val="003467C0"/>
    <w:rsid w:val="0034765E"/>
    <w:rsid w:val="003569B8"/>
    <w:rsid w:val="00356D86"/>
    <w:rsid w:val="0037553A"/>
    <w:rsid w:val="00387360"/>
    <w:rsid w:val="003931E7"/>
    <w:rsid w:val="003B6529"/>
    <w:rsid w:val="003C7685"/>
    <w:rsid w:val="003D018C"/>
    <w:rsid w:val="003D49BE"/>
    <w:rsid w:val="003E5E40"/>
    <w:rsid w:val="003E75BF"/>
    <w:rsid w:val="003F2174"/>
    <w:rsid w:val="003F7B1C"/>
    <w:rsid w:val="00414F0B"/>
    <w:rsid w:val="004169A1"/>
    <w:rsid w:val="0042239B"/>
    <w:rsid w:val="004240E5"/>
    <w:rsid w:val="00425AC9"/>
    <w:rsid w:val="00432ABA"/>
    <w:rsid w:val="00444977"/>
    <w:rsid w:val="00450B7F"/>
    <w:rsid w:val="00451CF4"/>
    <w:rsid w:val="00460DD0"/>
    <w:rsid w:val="0046194B"/>
    <w:rsid w:val="00475433"/>
    <w:rsid w:val="00476529"/>
    <w:rsid w:val="0048690A"/>
    <w:rsid w:val="00495935"/>
    <w:rsid w:val="004A66D0"/>
    <w:rsid w:val="004A6C01"/>
    <w:rsid w:val="004F7615"/>
    <w:rsid w:val="005009C9"/>
    <w:rsid w:val="00501C7E"/>
    <w:rsid w:val="00505EC9"/>
    <w:rsid w:val="00511186"/>
    <w:rsid w:val="005165F4"/>
    <w:rsid w:val="005237E6"/>
    <w:rsid w:val="00547958"/>
    <w:rsid w:val="005618D5"/>
    <w:rsid w:val="00564066"/>
    <w:rsid w:val="00573B42"/>
    <w:rsid w:val="00576DC4"/>
    <w:rsid w:val="005776E6"/>
    <w:rsid w:val="005845FF"/>
    <w:rsid w:val="00593072"/>
    <w:rsid w:val="00595302"/>
    <w:rsid w:val="005A2BBD"/>
    <w:rsid w:val="005A7732"/>
    <w:rsid w:val="005B24E7"/>
    <w:rsid w:val="005C46B2"/>
    <w:rsid w:val="005C6D8D"/>
    <w:rsid w:val="005D6D38"/>
    <w:rsid w:val="005E3B93"/>
    <w:rsid w:val="00611EDA"/>
    <w:rsid w:val="00613D1C"/>
    <w:rsid w:val="00614B82"/>
    <w:rsid w:val="0061759C"/>
    <w:rsid w:val="00620A19"/>
    <w:rsid w:val="00643CB1"/>
    <w:rsid w:val="00652C73"/>
    <w:rsid w:val="00654BC3"/>
    <w:rsid w:val="00656A3B"/>
    <w:rsid w:val="00666375"/>
    <w:rsid w:val="0067261D"/>
    <w:rsid w:val="00684810"/>
    <w:rsid w:val="00692E0D"/>
    <w:rsid w:val="00693D31"/>
    <w:rsid w:val="006945A0"/>
    <w:rsid w:val="006A3C0A"/>
    <w:rsid w:val="006B34F2"/>
    <w:rsid w:val="006B72CB"/>
    <w:rsid w:val="006B7AB5"/>
    <w:rsid w:val="006C0D13"/>
    <w:rsid w:val="006C5E91"/>
    <w:rsid w:val="006D7FA0"/>
    <w:rsid w:val="00711B1F"/>
    <w:rsid w:val="0071672B"/>
    <w:rsid w:val="007206F8"/>
    <w:rsid w:val="00724388"/>
    <w:rsid w:val="00735999"/>
    <w:rsid w:val="007361EC"/>
    <w:rsid w:val="00742907"/>
    <w:rsid w:val="0074659C"/>
    <w:rsid w:val="00754EE4"/>
    <w:rsid w:val="00755710"/>
    <w:rsid w:val="00760914"/>
    <w:rsid w:val="00767F43"/>
    <w:rsid w:val="0078259A"/>
    <w:rsid w:val="007932F7"/>
    <w:rsid w:val="00797B02"/>
    <w:rsid w:val="007A4596"/>
    <w:rsid w:val="007A4E4C"/>
    <w:rsid w:val="007B1CAE"/>
    <w:rsid w:val="007B771D"/>
    <w:rsid w:val="007D00F2"/>
    <w:rsid w:val="007E33BE"/>
    <w:rsid w:val="00827596"/>
    <w:rsid w:val="00833533"/>
    <w:rsid w:val="00846019"/>
    <w:rsid w:val="00852F27"/>
    <w:rsid w:val="008638D1"/>
    <w:rsid w:val="0086488E"/>
    <w:rsid w:val="00870AC6"/>
    <w:rsid w:val="0087687A"/>
    <w:rsid w:val="008777B5"/>
    <w:rsid w:val="0088031C"/>
    <w:rsid w:val="00883967"/>
    <w:rsid w:val="0089196B"/>
    <w:rsid w:val="008A119A"/>
    <w:rsid w:val="008A34B8"/>
    <w:rsid w:val="008C52CA"/>
    <w:rsid w:val="008C5359"/>
    <w:rsid w:val="008D0244"/>
    <w:rsid w:val="008D155E"/>
    <w:rsid w:val="008D2B6F"/>
    <w:rsid w:val="008D2DE1"/>
    <w:rsid w:val="008D3695"/>
    <w:rsid w:val="008D4218"/>
    <w:rsid w:val="008D6084"/>
    <w:rsid w:val="008E0A18"/>
    <w:rsid w:val="008E550C"/>
    <w:rsid w:val="008F2581"/>
    <w:rsid w:val="008F46B5"/>
    <w:rsid w:val="008F489B"/>
    <w:rsid w:val="0090024E"/>
    <w:rsid w:val="009302F2"/>
    <w:rsid w:val="00930A05"/>
    <w:rsid w:val="009361E5"/>
    <w:rsid w:val="00940D6E"/>
    <w:rsid w:val="00947047"/>
    <w:rsid w:val="00947611"/>
    <w:rsid w:val="00956333"/>
    <w:rsid w:val="0096605E"/>
    <w:rsid w:val="009770FB"/>
    <w:rsid w:val="00983DD9"/>
    <w:rsid w:val="009865DE"/>
    <w:rsid w:val="009A3C54"/>
    <w:rsid w:val="009B5D19"/>
    <w:rsid w:val="009B5E15"/>
    <w:rsid w:val="009D0B2C"/>
    <w:rsid w:val="009D4003"/>
    <w:rsid w:val="009F776E"/>
    <w:rsid w:val="009F7B37"/>
    <w:rsid w:val="00A016C6"/>
    <w:rsid w:val="00A01B81"/>
    <w:rsid w:val="00A023EF"/>
    <w:rsid w:val="00A02B8A"/>
    <w:rsid w:val="00A10AD0"/>
    <w:rsid w:val="00A30F1C"/>
    <w:rsid w:val="00A33FBA"/>
    <w:rsid w:val="00A35C82"/>
    <w:rsid w:val="00A47734"/>
    <w:rsid w:val="00A61BD9"/>
    <w:rsid w:val="00A71548"/>
    <w:rsid w:val="00A716E8"/>
    <w:rsid w:val="00A83040"/>
    <w:rsid w:val="00AA40F7"/>
    <w:rsid w:val="00AC6AC4"/>
    <w:rsid w:val="00AF3276"/>
    <w:rsid w:val="00B05E02"/>
    <w:rsid w:val="00B105F9"/>
    <w:rsid w:val="00B20B76"/>
    <w:rsid w:val="00B23FF6"/>
    <w:rsid w:val="00B32BBC"/>
    <w:rsid w:val="00B3793A"/>
    <w:rsid w:val="00B40246"/>
    <w:rsid w:val="00B408A5"/>
    <w:rsid w:val="00B428C1"/>
    <w:rsid w:val="00B543CE"/>
    <w:rsid w:val="00B57686"/>
    <w:rsid w:val="00B6200F"/>
    <w:rsid w:val="00B66159"/>
    <w:rsid w:val="00B74A5A"/>
    <w:rsid w:val="00B800CF"/>
    <w:rsid w:val="00B82BCF"/>
    <w:rsid w:val="00B948A3"/>
    <w:rsid w:val="00B9749B"/>
    <w:rsid w:val="00BA1BEF"/>
    <w:rsid w:val="00BA52B6"/>
    <w:rsid w:val="00BB6D21"/>
    <w:rsid w:val="00BB79C5"/>
    <w:rsid w:val="00BC2E97"/>
    <w:rsid w:val="00BC5F49"/>
    <w:rsid w:val="00BD7AA9"/>
    <w:rsid w:val="00BE5423"/>
    <w:rsid w:val="00BF779B"/>
    <w:rsid w:val="00C05458"/>
    <w:rsid w:val="00C0739A"/>
    <w:rsid w:val="00C139D8"/>
    <w:rsid w:val="00C244CD"/>
    <w:rsid w:val="00C267C9"/>
    <w:rsid w:val="00C26991"/>
    <w:rsid w:val="00C27907"/>
    <w:rsid w:val="00C36854"/>
    <w:rsid w:val="00C60118"/>
    <w:rsid w:val="00C62705"/>
    <w:rsid w:val="00C67B6F"/>
    <w:rsid w:val="00C85912"/>
    <w:rsid w:val="00C95C3E"/>
    <w:rsid w:val="00C96424"/>
    <w:rsid w:val="00CB0084"/>
    <w:rsid w:val="00CC17FC"/>
    <w:rsid w:val="00CC29A4"/>
    <w:rsid w:val="00CC668F"/>
    <w:rsid w:val="00CE168E"/>
    <w:rsid w:val="00CE221D"/>
    <w:rsid w:val="00CF5764"/>
    <w:rsid w:val="00CF7E13"/>
    <w:rsid w:val="00D015F4"/>
    <w:rsid w:val="00D0280F"/>
    <w:rsid w:val="00D27517"/>
    <w:rsid w:val="00D332E0"/>
    <w:rsid w:val="00D4175E"/>
    <w:rsid w:val="00D44CC5"/>
    <w:rsid w:val="00D45396"/>
    <w:rsid w:val="00D53768"/>
    <w:rsid w:val="00D624B6"/>
    <w:rsid w:val="00D6341D"/>
    <w:rsid w:val="00D67025"/>
    <w:rsid w:val="00D80506"/>
    <w:rsid w:val="00D84ACF"/>
    <w:rsid w:val="00D92196"/>
    <w:rsid w:val="00D92BC6"/>
    <w:rsid w:val="00DA71CA"/>
    <w:rsid w:val="00DB0E55"/>
    <w:rsid w:val="00DB3016"/>
    <w:rsid w:val="00DC16B1"/>
    <w:rsid w:val="00DC29E1"/>
    <w:rsid w:val="00DC5AEE"/>
    <w:rsid w:val="00DD5012"/>
    <w:rsid w:val="00DD563D"/>
    <w:rsid w:val="00DE6E3A"/>
    <w:rsid w:val="00DF613D"/>
    <w:rsid w:val="00DF7E89"/>
    <w:rsid w:val="00E1605E"/>
    <w:rsid w:val="00E2083F"/>
    <w:rsid w:val="00E2105E"/>
    <w:rsid w:val="00E351D3"/>
    <w:rsid w:val="00E50DA9"/>
    <w:rsid w:val="00E66B18"/>
    <w:rsid w:val="00E80B87"/>
    <w:rsid w:val="00EB6842"/>
    <w:rsid w:val="00EC0521"/>
    <w:rsid w:val="00ED362D"/>
    <w:rsid w:val="00ED555B"/>
    <w:rsid w:val="00EE086D"/>
    <w:rsid w:val="00EF3077"/>
    <w:rsid w:val="00EF554D"/>
    <w:rsid w:val="00F020B7"/>
    <w:rsid w:val="00F126CC"/>
    <w:rsid w:val="00F2744C"/>
    <w:rsid w:val="00F279F1"/>
    <w:rsid w:val="00F3299B"/>
    <w:rsid w:val="00F430E7"/>
    <w:rsid w:val="00F573B3"/>
    <w:rsid w:val="00F84DC2"/>
    <w:rsid w:val="00F856DC"/>
    <w:rsid w:val="00FA7986"/>
    <w:rsid w:val="00FB2303"/>
    <w:rsid w:val="00FC0419"/>
    <w:rsid w:val="00FC3F01"/>
    <w:rsid w:val="00FC6965"/>
    <w:rsid w:val="00FD0FAA"/>
    <w:rsid w:val="00FD1A0E"/>
    <w:rsid w:val="00FD5E97"/>
    <w:rsid w:val="00FD7889"/>
    <w:rsid w:val="00FE0E4A"/>
    <w:rsid w:val="00FE6942"/>
    <w:rsid w:val="00FF0728"/>
    <w:rsid w:val="00FF407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A78F8-4FE7-4FF9-AF07-3EB3330A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8"/>
  </w:style>
  <w:style w:type="paragraph" w:styleId="Footer">
    <w:name w:val="footer"/>
    <w:basedOn w:val="Normal"/>
    <w:link w:val="FooterChar"/>
    <w:uiPriority w:val="99"/>
    <w:unhideWhenUsed/>
    <w:rsid w:val="005D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8"/>
  </w:style>
  <w:style w:type="paragraph" w:styleId="ListParagraph">
    <w:name w:val="List Paragraph"/>
    <w:basedOn w:val="Normal"/>
    <w:uiPriority w:val="34"/>
    <w:qFormat/>
    <w:rsid w:val="00505EC9"/>
    <w:pPr>
      <w:ind w:left="720"/>
      <w:contextualSpacing/>
    </w:pPr>
  </w:style>
  <w:style w:type="paragraph" w:styleId="BalloonText">
    <w:name w:val="Balloon Text"/>
    <w:basedOn w:val="Normal"/>
    <w:link w:val="BalloonTextChar"/>
    <w:uiPriority w:val="99"/>
    <w:semiHidden/>
    <w:unhideWhenUsed/>
    <w:rsid w:val="0061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5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2019-01-22T14:46:00Z</cp:lastPrinted>
  <dcterms:created xsi:type="dcterms:W3CDTF">2019-01-24T10:08:00Z</dcterms:created>
  <dcterms:modified xsi:type="dcterms:W3CDTF">2019-01-24T10:08:00Z</dcterms:modified>
</cp:coreProperties>
</file>