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0AA" w:rsidRPr="00D950AA" w:rsidRDefault="00D950AA" w:rsidP="00702494">
      <w:pPr>
        <w:pStyle w:val="NoSpacing"/>
        <w:rPr>
          <w:sz w:val="24"/>
          <w:szCs w:val="24"/>
        </w:rPr>
      </w:pPr>
      <w:bookmarkStart w:id="0" w:name="_GoBack"/>
      <w:bookmarkEnd w:id="0"/>
      <w:r w:rsidRPr="00D950AA">
        <w:rPr>
          <w:sz w:val="24"/>
          <w:szCs w:val="24"/>
        </w:rPr>
        <w:t xml:space="preserve">                                                                           </w:t>
      </w:r>
      <w:r>
        <w:rPr>
          <w:sz w:val="24"/>
          <w:szCs w:val="24"/>
        </w:rPr>
        <w:t xml:space="preserve">                         </w:t>
      </w:r>
      <w:r w:rsidRPr="00D950AA">
        <w:rPr>
          <w:sz w:val="24"/>
          <w:szCs w:val="24"/>
        </w:rPr>
        <w:t xml:space="preserve">                             </w:t>
      </w:r>
    </w:p>
    <w:p w:rsidR="00D950AA" w:rsidRPr="00702494" w:rsidRDefault="00D950AA" w:rsidP="00702494">
      <w:pPr>
        <w:spacing w:after="0" w:line="240" w:lineRule="auto"/>
        <w:jc w:val="both"/>
        <w:rPr>
          <w:rFonts w:ascii="Times New Roman" w:hAnsi="Times New Roman" w:cs="Times New Roman"/>
          <w:sz w:val="24"/>
          <w:szCs w:val="24"/>
        </w:rPr>
      </w:pPr>
      <w:r w:rsidRPr="00702494">
        <w:rPr>
          <w:rFonts w:ascii="Times New Roman" w:hAnsi="Times New Roman" w:cs="Times New Roman"/>
          <w:sz w:val="24"/>
          <w:szCs w:val="24"/>
        </w:rPr>
        <w:t>AFRICAN BANKING CORPORATION OF ZIMBABWE LIMITED</w:t>
      </w:r>
    </w:p>
    <w:p w:rsidR="00D950AA" w:rsidRPr="00702494" w:rsidRDefault="00702494" w:rsidP="007024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D950AA" w:rsidRDefault="00D950AA" w:rsidP="00702494">
      <w:pPr>
        <w:spacing w:after="0" w:line="240" w:lineRule="auto"/>
        <w:jc w:val="both"/>
        <w:rPr>
          <w:rFonts w:ascii="Times New Roman" w:hAnsi="Times New Roman" w:cs="Times New Roman"/>
          <w:sz w:val="24"/>
          <w:szCs w:val="24"/>
        </w:rPr>
      </w:pPr>
      <w:r w:rsidRPr="00702494">
        <w:rPr>
          <w:rFonts w:ascii="Times New Roman" w:hAnsi="Times New Roman" w:cs="Times New Roman"/>
          <w:sz w:val="24"/>
          <w:szCs w:val="24"/>
        </w:rPr>
        <w:t>OSWELL ANESU MAGURIRA</w:t>
      </w:r>
    </w:p>
    <w:p w:rsidR="00702494" w:rsidRDefault="00702494" w:rsidP="00702494">
      <w:pPr>
        <w:spacing w:after="0" w:line="240" w:lineRule="auto"/>
        <w:jc w:val="both"/>
        <w:rPr>
          <w:rFonts w:ascii="Times New Roman" w:hAnsi="Times New Roman" w:cs="Times New Roman"/>
          <w:sz w:val="24"/>
          <w:szCs w:val="24"/>
        </w:rPr>
      </w:pPr>
    </w:p>
    <w:p w:rsidR="00702494" w:rsidRDefault="00702494" w:rsidP="00702494">
      <w:pPr>
        <w:spacing w:after="0" w:line="240" w:lineRule="auto"/>
        <w:jc w:val="both"/>
        <w:rPr>
          <w:rFonts w:ascii="Times New Roman" w:hAnsi="Times New Roman" w:cs="Times New Roman"/>
          <w:sz w:val="24"/>
          <w:szCs w:val="24"/>
        </w:rPr>
      </w:pPr>
    </w:p>
    <w:p w:rsidR="00702494" w:rsidRPr="00702494" w:rsidRDefault="00702494" w:rsidP="00702494">
      <w:pPr>
        <w:spacing w:after="0" w:line="240" w:lineRule="auto"/>
        <w:jc w:val="both"/>
        <w:rPr>
          <w:rFonts w:ascii="Times New Roman" w:hAnsi="Times New Roman" w:cs="Times New Roman"/>
          <w:sz w:val="24"/>
          <w:szCs w:val="24"/>
        </w:rPr>
      </w:pPr>
    </w:p>
    <w:p w:rsidR="00D950AA" w:rsidRPr="00702494" w:rsidRDefault="00D950AA" w:rsidP="00702494">
      <w:pPr>
        <w:pStyle w:val="NoSpacing"/>
        <w:jc w:val="both"/>
        <w:rPr>
          <w:rFonts w:ascii="Times New Roman" w:hAnsi="Times New Roman" w:cs="Times New Roman"/>
          <w:sz w:val="24"/>
          <w:szCs w:val="24"/>
        </w:rPr>
      </w:pPr>
      <w:r w:rsidRPr="00702494">
        <w:rPr>
          <w:rFonts w:ascii="Times New Roman" w:hAnsi="Times New Roman" w:cs="Times New Roman"/>
          <w:sz w:val="24"/>
          <w:szCs w:val="24"/>
        </w:rPr>
        <w:t>HIGH COURT OF ZIMBABWE</w:t>
      </w:r>
    </w:p>
    <w:p w:rsidR="00D950AA" w:rsidRPr="00702494" w:rsidRDefault="00D950AA" w:rsidP="00702494">
      <w:pPr>
        <w:pStyle w:val="NoSpacing"/>
        <w:jc w:val="both"/>
        <w:rPr>
          <w:rFonts w:ascii="Times New Roman" w:hAnsi="Times New Roman" w:cs="Times New Roman"/>
          <w:sz w:val="24"/>
          <w:szCs w:val="24"/>
        </w:rPr>
      </w:pPr>
      <w:r w:rsidRPr="00702494">
        <w:rPr>
          <w:rFonts w:ascii="Times New Roman" w:hAnsi="Times New Roman" w:cs="Times New Roman"/>
          <w:sz w:val="24"/>
          <w:szCs w:val="24"/>
        </w:rPr>
        <w:t>TAGU J</w:t>
      </w:r>
    </w:p>
    <w:p w:rsidR="00D950AA" w:rsidRPr="00702494" w:rsidRDefault="00D950AA" w:rsidP="00702494">
      <w:pPr>
        <w:pStyle w:val="NoSpacing"/>
        <w:jc w:val="both"/>
        <w:rPr>
          <w:rFonts w:ascii="Times New Roman" w:hAnsi="Times New Roman" w:cs="Times New Roman"/>
          <w:sz w:val="24"/>
          <w:szCs w:val="24"/>
        </w:rPr>
      </w:pPr>
      <w:r w:rsidRPr="00702494">
        <w:rPr>
          <w:rFonts w:ascii="Times New Roman" w:hAnsi="Times New Roman" w:cs="Times New Roman"/>
          <w:sz w:val="24"/>
          <w:szCs w:val="24"/>
        </w:rPr>
        <w:t>HARARE</w:t>
      </w:r>
      <w:r w:rsidR="00702494">
        <w:rPr>
          <w:rFonts w:ascii="Times New Roman" w:hAnsi="Times New Roman" w:cs="Times New Roman"/>
          <w:sz w:val="24"/>
          <w:szCs w:val="24"/>
        </w:rPr>
        <w:t>, 25 June 2019 &amp;</w:t>
      </w:r>
      <w:r w:rsidRPr="00702494">
        <w:rPr>
          <w:rFonts w:ascii="Times New Roman" w:hAnsi="Times New Roman" w:cs="Times New Roman"/>
          <w:sz w:val="24"/>
          <w:szCs w:val="24"/>
        </w:rPr>
        <w:t xml:space="preserve"> 3 </w:t>
      </w:r>
      <w:r w:rsidR="00702494">
        <w:rPr>
          <w:rFonts w:ascii="Times New Roman" w:hAnsi="Times New Roman" w:cs="Times New Roman"/>
          <w:sz w:val="24"/>
          <w:szCs w:val="24"/>
        </w:rPr>
        <w:t>July</w:t>
      </w:r>
      <w:r w:rsidR="007B69AB" w:rsidRPr="00702494">
        <w:rPr>
          <w:rFonts w:ascii="Times New Roman" w:hAnsi="Times New Roman" w:cs="Times New Roman"/>
          <w:sz w:val="24"/>
          <w:szCs w:val="24"/>
        </w:rPr>
        <w:t xml:space="preserve"> 2019</w:t>
      </w:r>
    </w:p>
    <w:p w:rsidR="007B69AB" w:rsidRDefault="007B69AB" w:rsidP="00702494">
      <w:pPr>
        <w:pStyle w:val="NoSpacing"/>
        <w:spacing w:line="360" w:lineRule="auto"/>
        <w:jc w:val="both"/>
        <w:rPr>
          <w:rFonts w:ascii="Times New Roman" w:hAnsi="Times New Roman" w:cs="Times New Roman"/>
          <w:sz w:val="24"/>
          <w:szCs w:val="24"/>
        </w:rPr>
      </w:pPr>
    </w:p>
    <w:p w:rsidR="00702494" w:rsidRPr="00702494" w:rsidRDefault="00702494" w:rsidP="00702494">
      <w:pPr>
        <w:pStyle w:val="NoSpacing"/>
        <w:spacing w:line="360" w:lineRule="auto"/>
        <w:jc w:val="both"/>
        <w:rPr>
          <w:rFonts w:ascii="Times New Roman" w:hAnsi="Times New Roman" w:cs="Times New Roman"/>
          <w:sz w:val="24"/>
          <w:szCs w:val="24"/>
        </w:rPr>
      </w:pPr>
    </w:p>
    <w:p w:rsidR="00D950AA" w:rsidRDefault="00D950AA" w:rsidP="00702494">
      <w:pPr>
        <w:spacing w:line="360" w:lineRule="auto"/>
        <w:jc w:val="both"/>
        <w:rPr>
          <w:rFonts w:ascii="Times New Roman" w:hAnsi="Times New Roman" w:cs="Times New Roman"/>
          <w:b/>
          <w:sz w:val="24"/>
          <w:szCs w:val="24"/>
        </w:rPr>
      </w:pPr>
      <w:r w:rsidRPr="00702494">
        <w:rPr>
          <w:rFonts w:ascii="Times New Roman" w:hAnsi="Times New Roman" w:cs="Times New Roman"/>
          <w:b/>
          <w:sz w:val="24"/>
          <w:szCs w:val="24"/>
        </w:rPr>
        <w:t>Opposed application-summary judgment</w:t>
      </w:r>
    </w:p>
    <w:p w:rsidR="00702494" w:rsidRPr="00702494" w:rsidRDefault="00702494" w:rsidP="00702494">
      <w:pPr>
        <w:spacing w:line="360" w:lineRule="auto"/>
        <w:jc w:val="both"/>
        <w:rPr>
          <w:rFonts w:ascii="Times New Roman" w:hAnsi="Times New Roman" w:cs="Times New Roman"/>
          <w:b/>
          <w:sz w:val="24"/>
          <w:szCs w:val="24"/>
        </w:rPr>
      </w:pPr>
    </w:p>
    <w:p w:rsidR="00D950AA" w:rsidRPr="00702494" w:rsidRDefault="00D950AA" w:rsidP="00702494">
      <w:pPr>
        <w:pStyle w:val="NoSpacing"/>
        <w:jc w:val="both"/>
        <w:rPr>
          <w:rFonts w:ascii="Times New Roman" w:hAnsi="Times New Roman" w:cs="Times New Roman"/>
          <w:sz w:val="24"/>
          <w:szCs w:val="24"/>
        </w:rPr>
      </w:pPr>
      <w:r w:rsidRPr="00702494">
        <w:rPr>
          <w:rFonts w:ascii="Times New Roman" w:hAnsi="Times New Roman" w:cs="Times New Roman"/>
          <w:i/>
          <w:sz w:val="24"/>
          <w:szCs w:val="24"/>
        </w:rPr>
        <w:t>T Mukwesha</w:t>
      </w:r>
      <w:r w:rsidRPr="00702494">
        <w:rPr>
          <w:rFonts w:ascii="Times New Roman" w:hAnsi="Times New Roman" w:cs="Times New Roman"/>
          <w:sz w:val="24"/>
          <w:szCs w:val="24"/>
        </w:rPr>
        <w:t xml:space="preserve">, for </w:t>
      </w:r>
      <w:r w:rsidR="00702494">
        <w:rPr>
          <w:rFonts w:ascii="Times New Roman" w:hAnsi="Times New Roman" w:cs="Times New Roman"/>
          <w:sz w:val="24"/>
          <w:szCs w:val="24"/>
        </w:rPr>
        <w:t xml:space="preserve">the </w:t>
      </w:r>
      <w:r w:rsidRPr="00702494">
        <w:rPr>
          <w:rFonts w:ascii="Times New Roman" w:hAnsi="Times New Roman" w:cs="Times New Roman"/>
          <w:sz w:val="24"/>
          <w:szCs w:val="24"/>
        </w:rPr>
        <w:t xml:space="preserve">applicant </w:t>
      </w:r>
    </w:p>
    <w:p w:rsidR="00D950AA" w:rsidRPr="00702494" w:rsidRDefault="00D950AA" w:rsidP="00702494">
      <w:pPr>
        <w:pStyle w:val="NoSpacing"/>
        <w:jc w:val="both"/>
        <w:rPr>
          <w:rFonts w:ascii="Times New Roman" w:hAnsi="Times New Roman" w:cs="Times New Roman"/>
          <w:sz w:val="24"/>
          <w:szCs w:val="24"/>
        </w:rPr>
      </w:pPr>
      <w:r w:rsidRPr="00702494">
        <w:rPr>
          <w:rFonts w:ascii="Times New Roman" w:hAnsi="Times New Roman" w:cs="Times New Roman"/>
          <w:i/>
          <w:sz w:val="24"/>
          <w:szCs w:val="24"/>
        </w:rPr>
        <w:t>T Duma</w:t>
      </w:r>
      <w:r w:rsidRPr="00702494">
        <w:rPr>
          <w:rFonts w:ascii="Times New Roman" w:hAnsi="Times New Roman" w:cs="Times New Roman"/>
          <w:sz w:val="24"/>
          <w:szCs w:val="24"/>
        </w:rPr>
        <w:t xml:space="preserve">, for </w:t>
      </w:r>
      <w:r w:rsidR="00702494">
        <w:rPr>
          <w:rFonts w:ascii="Times New Roman" w:hAnsi="Times New Roman" w:cs="Times New Roman"/>
          <w:sz w:val="24"/>
          <w:szCs w:val="24"/>
        </w:rPr>
        <w:t xml:space="preserve">the </w:t>
      </w:r>
      <w:r w:rsidRPr="00702494">
        <w:rPr>
          <w:rFonts w:ascii="Times New Roman" w:hAnsi="Times New Roman" w:cs="Times New Roman"/>
          <w:sz w:val="24"/>
          <w:szCs w:val="24"/>
        </w:rPr>
        <w:t>respondent</w:t>
      </w:r>
    </w:p>
    <w:p w:rsidR="00D950AA" w:rsidRDefault="00D950AA" w:rsidP="00702494">
      <w:pPr>
        <w:pStyle w:val="NoSpacing"/>
        <w:spacing w:line="360" w:lineRule="auto"/>
        <w:jc w:val="both"/>
        <w:rPr>
          <w:rFonts w:ascii="Times New Roman" w:hAnsi="Times New Roman" w:cs="Times New Roman"/>
          <w:sz w:val="24"/>
          <w:szCs w:val="24"/>
        </w:rPr>
      </w:pPr>
    </w:p>
    <w:p w:rsidR="00702494" w:rsidRPr="00702494" w:rsidRDefault="00702494" w:rsidP="00702494">
      <w:pPr>
        <w:pStyle w:val="NoSpacing"/>
        <w:spacing w:line="360" w:lineRule="auto"/>
        <w:jc w:val="both"/>
        <w:rPr>
          <w:rFonts w:ascii="Times New Roman" w:hAnsi="Times New Roman" w:cs="Times New Roman"/>
          <w:sz w:val="24"/>
          <w:szCs w:val="24"/>
        </w:rPr>
      </w:pPr>
    </w:p>
    <w:p w:rsidR="00C63A5C" w:rsidRPr="00702494" w:rsidRDefault="00D950AA" w:rsidP="00702494">
      <w:pPr>
        <w:spacing w:after="0" w:line="360" w:lineRule="auto"/>
        <w:jc w:val="both"/>
        <w:rPr>
          <w:rFonts w:ascii="Times New Roman" w:hAnsi="Times New Roman" w:cs="Times New Roman"/>
          <w:sz w:val="24"/>
          <w:szCs w:val="24"/>
        </w:rPr>
      </w:pPr>
      <w:r w:rsidRPr="00702494">
        <w:rPr>
          <w:rFonts w:ascii="Times New Roman" w:hAnsi="Times New Roman" w:cs="Times New Roman"/>
          <w:sz w:val="24"/>
          <w:szCs w:val="24"/>
        </w:rPr>
        <w:t xml:space="preserve">                     TAGU J: </w:t>
      </w:r>
      <w:r w:rsidR="000D4C85" w:rsidRPr="00702494">
        <w:rPr>
          <w:rFonts w:ascii="Times New Roman" w:hAnsi="Times New Roman" w:cs="Times New Roman"/>
          <w:sz w:val="24"/>
          <w:szCs w:val="24"/>
        </w:rPr>
        <w:t xml:space="preserve">On </w:t>
      </w:r>
      <w:r w:rsidR="00702494">
        <w:rPr>
          <w:rFonts w:ascii="Times New Roman" w:hAnsi="Times New Roman" w:cs="Times New Roman"/>
          <w:sz w:val="24"/>
          <w:szCs w:val="24"/>
        </w:rPr>
        <w:t>23</w:t>
      </w:r>
      <w:r w:rsidR="000D4C85" w:rsidRPr="00702494">
        <w:rPr>
          <w:rFonts w:ascii="Times New Roman" w:hAnsi="Times New Roman" w:cs="Times New Roman"/>
          <w:sz w:val="24"/>
          <w:szCs w:val="24"/>
        </w:rPr>
        <w:t xml:space="preserve"> April 2014 and at Harare the plaintiff</w:t>
      </w:r>
      <w:r w:rsidR="00477457" w:rsidRPr="00702494">
        <w:rPr>
          <w:rFonts w:ascii="Times New Roman" w:hAnsi="Times New Roman" w:cs="Times New Roman"/>
          <w:sz w:val="24"/>
          <w:szCs w:val="24"/>
        </w:rPr>
        <w:t xml:space="preserve"> (applicant)</w:t>
      </w:r>
      <w:r w:rsidR="000D4C85" w:rsidRPr="00702494">
        <w:rPr>
          <w:rFonts w:ascii="Times New Roman" w:hAnsi="Times New Roman" w:cs="Times New Roman"/>
          <w:sz w:val="24"/>
          <w:szCs w:val="24"/>
        </w:rPr>
        <w:t xml:space="preserve"> and defendant</w:t>
      </w:r>
      <w:r w:rsidR="00477457" w:rsidRPr="00702494">
        <w:rPr>
          <w:rFonts w:ascii="Times New Roman" w:hAnsi="Times New Roman" w:cs="Times New Roman"/>
          <w:sz w:val="24"/>
          <w:szCs w:val="24"/>
        </w:rPr>
        <w:t xml:space="preserve"> (respondent)</w:t>
      </w:r>
      <w:r w:rsidR="000D4C85" w:rsidRPr="00702494">
        <w:rPr>
          <w:rFonts w:ascii="Times New Roman" w:hAnsi="Times New Roman" w:cs="Times New Roman"/>
          <w:sz w:val="24"/>
          <w:szCs w:val="24"/>
        </w:rPr>
        <w:t xml:space="preserve"> entered into an agree</w:t>
      </w:r>
      <w:r w:rsidR="00477457" w:rsidRPr="00702494">
        <w:rPr>
          <w:rFonts w:ascii="Times New Roman" w:hAnsi="Times New Roman" w:cs="Times New Roman"/>
          <w:sz w:val="24"/>
          <w:szCs w:val="24"/>
        </w:rPr>
        <w:t>ment in terms of which applicant extended to the respondent</w:t>
      </w:r>
      <w:r w:rsidR="000D4C85" w:rsidRPr="00702494">
        <w:rPr>
          <w:rFonts w:ascii="Times New Roman" w:hAnsi="Times New Roman" w:cs="Times New Roman"/>
          <w:sz w:val="24"/>
          <w:szCs w:val="24"/>
        </w:rPr>
        <w:t xml:space="preserve"> a mortgage finance facility in the sum of US$41 509.00. </w:t>
      </w:r>
      <w:r w:rsidR="00FB553A" w:rsidRPr="00702494">
        <w:rPr>
          <w:rFonts w:ascii="Times New Roman" w:hAnsi="Times New Roman" w:cs="Times New Roman"/>
          <w:sz w:val="24"/>
          <w:szCs w:val="24"/>
        </w:rPr>
        <w:t>As sec</w:t>
      </w:r>
      <w:r w:rsidR="00477457" w:rsidRPr="00702494">
        <w:rPr>
          <w:rFonts w:ascii="Times New Roman" w:hAnsi="Times New Roman" w:cs="Times New Roman"/>
          <w:sz w:val="24"/>
          <w:szCs w:val="24"/>
        </w:rPr>
        <w:t>urity for the loan the</w:t>
      </w:r>
      <w:r w:rsidR="00FB553A" w:rsidRPr="00702494">
        <w:rPr>
          <w:rFonts w:ascii="Times New Roman" w:hAnsi="Times New Roman" w:cs="Times New Roman"/>
          <w:sz w:val="24"/>
          <w:szCs w:val="24"/>
        </w:rPr>
        <w:t xml:space="preserve"> </w:t>
      </w:r>
      <w:r w:rsidR="00477457" w:rsidRPr="00702494">
        <w:rPr>
          <w:rFonts w:ascii="Times New Roman" w:hAnsi="Times New Roman" w:cs="Times New Roman"/>
          <w:sz w:val="24"/>
          <w:szCs w:val="24"/>
        </w:rPr>
        <w:t xml:space="preserve">respondent </w:t>
      </w:r>
      <w:r w:rsidR="00FB553A" w:rsidRPr="00702494">
        <w:rPr>
          <w:rFonts w:ascii="Times New Roman" w:hAnsi="Times New Roman" w:cs="Times New Roman"/>
          <w:sz w:val="24"/>
          <w:szCs w:val="24"/>
        </w:rPr>
        <w:t>registered a mort</w:t>
      </w:r>
      <w:r w:rsidR="00477457" w:rsidRPr="00702494">
        <w:rPr>
          <w:rFonts w:ascii="Times New Roman" w:hAnsi="Times New Roman" w:cs="Times New Roman"/>
          <w:sz w:val="24"/>
          <w:szCs w:val="24"/>
        </w:rPr>
        <w:t>gage bond in favour of applicant</w:t>
      </w:r>
      <w:r w:rsidR="00FB553A" w:rsidRPr="00702494">
        <w:rPr>
          <w:rFonts w:ascii="Times New Roman" w:hAnsi="Times New Roman" w:cs="Times New Roman"/>
          <w:sz w:val="24"/>
          <w:szCs w:val="24"/>
        </w:rPr>
        <w:t xml:space="preserve"> against a certain piece of land situate in the District of Selukwe called Stand 468 Selukwe Township under Deed of transfer number 1052/2014. In breach of the agreement between the par</w:t>
      </w:r>
      <w:r w:rsidR="00477457" w:rsidRPr="00702494">
        <w:rPr>
          <w:rFonts w:ascii="Times New Roman" w:hAnsi="Times New Roman" w:cs="Times New Roman"/>
          <w:sz w:val="24"/>
          <w:szCs w:val="24"/>
        </w:rPr>
        <w:t>ties respondent</w:t>
      </w:r>
      <w:r w:rsidR="00FB553A" w:rsidRPr="00702494">
        <w:rPr>
          <w:rFonts w:ascii="Times New Roman" w:hAnsi="Times New Roman" w:cs="Times New Roman"/>
          <w:sz w:val="24"/>
          <w:szCs w:val="24"/>
        </w:rPr>
        <w:t xml:space="preserve"> failed to fully repay the loan facility within the period stipulated in the facility. Instead of making regular monthly payments, the </w:t>
      </w:r>
      <w:r w:rsidR="00477457" w:rsidRPr="00702494">
        <w:rPr>
          <w:rFonts w:ascii="Times New Roman" w:hAnsi="Times New Roman" w:cs="Times New Roman"/>
          <w:sz w:val="24"/>
          <w:szCs w:val="24"/>
        </w:rPr>
        <w:t>respondent</w:t>
      </w:r>
      <w:r w:rsidR="00FB553A" w:rsidRPr="00702494">
        <w:rPr>
          <w:rFonts w:ascii="Times New Roman" w:hAnsi="Times New Roman" w:cs="Times New Roman"/>
          <w:sz w:val="24"/>
          <w:szCs w:val="24"/>
        </w:rPr>
        <w:t xml:space="preserve"> paid lump sums at irregular </w:t>
      </w:r>
      <w:r w:rsidR="00094066">
        <w:rPr>
          <w:rFonts w:ascii="Times New Roman" w:hAnsi="Times New Roman" w:cs="Times New Roman"/>
          <w:sz w:val="24"/>
          <w:szCs w:val="24"/>
        </w:rPr>
        <w:t>intervals</w:t>
      </w:r>
      <w:r w:rsidR="00FB553A" w:rsidRPr="00702494">
        <w:rPr>
          <w:rFonts w:ascii="Times New Roman" w:hAnsi="Times New Roman" w:cs="Times New Roman"/>
          <w:sz w:val="24"/>
          <w:szCs w:val="24"/>
        </w:rPr>
        <w:t xml:space="preserve"> such that as at September 2018 th</w:t>
      </w:r>
      <w:r w:rsidR="00477457" w:rsidRPr="00702494">
        <w:rPr>
          <w:rFonts w:ascii="Times New Roman" w:hAnsi="Times New Roman" w:cs="Times New Roman"/>
          <w:sz w:val="24"/>
          <w:szCs w:val="24"/>
        </w:rPr>
        <w:t>e balance outstanding on responde</w:t>
      </w:r>
      <w:r w:rsidR="00FB553A" w:rsidRPr="00702494">
        <w:rPr>
          <w:rFonts w:ascii="Times New Roman" w:hAnsi="Times New Roman" w:cs="Times New Roman"/>
          <w:sz w:val="24"/>
          <w:szCs w:val="24"/>
        </w:rPr>
        <w:t xml:space="preserve">nt’s account was the sum of </w:t>
      </w:r>
      <w:r w:rsidR="00C63A5C" w:rsidRPr="00702494">
        <w:rPr>
          <w:rFonts w:ascii="Times New Roman" w:hAnsi="Times New Roman" w:cs="Times New Roman"/>
          <w:sz w:val="24"/>
          <w:szCs w:val="24"/>
        </w:rPr>
        <w:t>US</w:t>
      </w:r>
      <w:r w:rsidR="00FB553A" w:rsidRPr="00702494">
        <w:rPr>
          <w:rFonts w:ascii="Times New Roman" w:hAnsi="Times New Roman" w:cs="Times New Roman"/>
          <w:sz w:val="24"/>
          <w:szCs w:val="24"/>
        </w:rPr>
        <w:t>$33 405.29</w:t>
      </w:r>
      <w:r w:rsidR="00C63A5C" w:rsidRPr="00702494">
        <w:rPr>
          <w:rFonts w:ascii="Times New Roman" w:hAnsi="Times New Roman" w:cs="Times New Roman"/>
          <w:sz w:val="24"/>
          <w:szCs w:val="24"/>
        </w:rPr>
        <w:t xml:space="preserve"> as </w:t>
      </w:r>
      <w:r w:rsidR="00C63A5C" w:rsidRPr="00094066">
        <w:rPr>
          <w:rFonts w:ascii="Times New Roman" w:hAnsi="Times New Roman" w:cs="Times New Roman"/>
          <w:i/>
          <w:sz w:val="24"/>
          <w:szCs w:val="24"/>
        </w:rPr>
        <w:t>per</w:t>
      </w:r>
      <w:r w:rsidR="00C63A5C" w:rsidRPr="00702494">
        <w:rPr>
          <w:rFonts w:ascii="Times New Roman" w:hAnsi="Times New Roman" w:cs="Times New Roman"/>
          <w:sz w:val="24"/>
          <w:szCs w:val="24"/>
        </w:rPr>
        <w:t xml:space="preserve"> induplum schedule shows. Despite several</w:t>
      </w:r>
      <w:r w:rsidR="00477457" w:rsidRPr="00702494">
        <w:rPr>
          <w:rFonts w:ascii="Times New Roman" w:hAnsi="Times New Roman" w:cs="Times New Roman"/>
          <w:sz w:val="24"/>
          <w:szCs w:val="24"/>
        </w:rPr>
        <w:t xml:space="preserve"> demands the responde</w:t>
      </w:r>
      <w:r w:rsidR="00C63A5C" w:rsidRPr="00702494">
        <w:rPr>
          <w:rFonts w:ascii="Times New Roman" w:hAnsi="Times New Roman" w:cs="Times New Roman"/>
          <w:sz w:val="24"/>
          <w:szCs w:val="24"/>
        </w:rPr>
        <w:t>nt has failed to pay the full sum demanded.</w:t>
      </w:r>
    </w:p>
    <w:p w:rsidR="00B14810" w:rsidRPr="00702494" w:rsidRDefault="00C63A5C" w:rsidP="00702494">
      <w:pPr>
        <w:spacing w:after="0" w:line="360" w:lineRule="auto"/>
        <w:ind w:firstLine="600"/>
        <w:jc w:val="both"/>
        <w:rPr>
          <w:rFonts w:ascii="Times New Roman" w:hAnsi="Times New Roman" w:cs="Times New Roman"/>
          <w:sz w:val="24"/>
          <w:szCs w:val="24"/>
        </w:rPr>
      </w:pPr>
      <w:r w:rsidRPr="00702494">
        <w:rPr>
          <w:rFonts w:ascii="Times New Roman" w:hAnsi="Times New Roman" w:cs="Times New Roman"/>
          <w:sz w:val="24"/>
          <w:szCs w:val="24"/>
        </w:rPr>
        <w:t xml:space="preserve">On </w:t>
      </w:r>
      <w:r w:rsidR="00702494">
        <w:rPr>
          <w:rFonts w:ascii="Times New Roman" w:hAnsi="Times New Roman" w:cs="Times New Roman"/>
          <w:sz w:val="24"/>
          <w:szCs w:val="24"/>
        </w:rPr>
        <w:t>2</w:t>
      </w:r>
      <w:r w:rsidRPr="00702494">
        <w:rPr>
          <w:rFonts w:ascii="Times New Roman" w:hAnsi="Times New Roman" w:cs="Times New Roman"/>
          <w:sz w:val="24"/>
          <w:szCs w:val="24"/>
        </w:rPr>
        <w:t xml:space="preserve"> October 2018 the applicant (plaintiff) caused summons to be issued claiming p</w:t>
      </w:r>
      <w:r w:rsidR="00702494">
        <w:rPr>
          <w:rFonts w:ascii="Times New Roman" w:hAnsi="Times New Roman" w:cs="Times New Roman"/>
          <w:sz w:val="24"/>
          <w:szCs w:val="24"/>
        </w:rPr>
        <w:t xml:space="preserve">ayment of US$33 405.29 (thirty </w:t>
      </w:r>
      <w:r w:rsidRPr="00702494">
        <w:rPr>
          <w:rFonts w:ascii="Times New Roman" w:hAnsi="Times New Roman" w:cs="Times New Roman"/>
          <w:sz w:val="24"/>
          <w:szCs w:val="24"/>
        </w:rPr>
        <w:t>three thousand, four hundred and five dollars</w:t>
      </w:r>
      <w:r w:rsidR="00702494">
        <w:rPr>
          <w:rFonts w:ascii="Times New Roman" w:hAnsi="Times New Roman" w:cs="Times New Roman"/>
          <w:sz w:val="24"/>
          <w:szCs w:val="24"/>
        </w:rPr>
        <w:t xml:space="preserve"> and twenty </w:t>
      </w:r>
      <w:r w:rsidR="007500B6" w:rsidRPr="00702494">
        <w:rPr>
          <w:rFonts w:ascii="Times New Roman" w:hAnsi="Times New Roman" w:cs="Times New Roman"/>
          <w:sz w:val="24"/>
          <w:szCs w:val="24"/>
        </w:rPr>
        <w:t>nine cents) being the capital debt owed to the applicant by respondent for a mortgage loan facility advanced to him, together with interest a</w:t>
      </w:r>
      <w:r w:rsidR="00702494">
        <w:rPr>
          <w:rFonts w:ascii="Times New Roman" w:hAnsi="Times New Roman" w:cs="Times New Roman"/>
          <w:sz w:val="24"/>
          <w:szCs w:val="24"/>
        </w:rPr>
        <w:t>nd costs of suit on an attorney</w:t>
      </w:r>
      <w:r w:rsidR="007500B6" w:rsidRPr="00702494">
        <w:rPr>
          <w:rFonts w:ascii="Times New Roman" w:hAnsi="Times New Roman" w:cs="Times New Roman"/>
          <w:sz w:val="24"/>
          <w:szCs w:val="24"/>
        </w:rPr>
        <w:t xml:space="preserve">–client scale as well as collection commission. An appearance to defend was entered by the respondent on </w:t>
      </w:r>
      <w:r w:rsidR="00702494">
        <w:rPr>
          <w:rFonts w:ascii="Times New Roman" w:hAnsi="Times New Roman" w:cs="Times New Roman"/>
          <w:sz w:val="24"/>
          <w:szCs w:val="24"/>
        </w:rPr>
        <w:t>12</w:t>
      </w:r>
      <w:r w:rsidR="007500B6" w:rsidRPr="00702494">
        <w:rPr>
          <w:rFonts w:ascii="Times New Roman" w:hAnsi="Times New Roman" w:cs="Times New Roman"/>
          <w:sz w:val="24"/>
          <w:szCs w:val="24"/>
        </w:rPr>
        <w:t xml:space="preserve"> October 2015. At the expiry of the </w:t>
      </w:r>
      <w:r w:rsidR="007500B6" w:rsidRPr="00702494">
        <w:rPr>
          <w:rFonts w:ascii="Times New Roman" w:hAnsi="Times New Roman" w:cs="Times New Roman"/>
          <w:i/>
          <w:sz w:val="24"/>
          <w:szCs w:val="24"/>
        </w:rPr>
        <w:lastRenderedPageBreak/>
        <w:t>dies induciae</w:t>
      </w:r>
      <w:r w:rsidR="007500B6" w:rsidRPr="00702494">
        <w:rPr>
          <w:rFonts w:ascii="Times New Roman" w:hAnsi="Times New Roman" w:cs="Times New Roman"/>
          <w:sz w:val="24"/>
          <w:szCs w:val="24"/>
        </w:rPr>
        <w:t xml:space="preserve">, the applicant served a Notice of Intention to bar on the respondent, which was responded to by the respondent’s plea filed by him on </w:t>
      </w:r>
      <w:r w:rsidR="00702494">
        <w:rPr>
          <w:rFonts w:ascii="Times New Roman" w:hAnsi="Times New Roman" w:cs="Times New Roman"/>
          <w:sz w:val="24"/>
          <w:szCs w:val="24"/>
        </w:rPr>
        <w:t>8</w:t>
      </w:r>
      <w:r w:rsidR="007500B6" w:rsidRPr="00702494">
        <w:rPr>
          <w:rFonts w:ascii="Times New Roman" w:hAnsi="Times New Roman" w:cs="Times New Roman"/>
          <w:sz w:val="24"/>
          <w:szCs w:val="24"/>
        </w:rPr>
        <w:t xml:space="preserve"> November 2018.</w:t>
      </w:r>
      <w:r w:rsidR="00F66DEA" w:rsidRPr="00702494">
        <w:rPr>
          <w:rFonts w:ascii="Times New Roman" w:hAnsi="Times New Roman" w:cs="Times New Roman"/>
          <w:sz w:val="24"/>
          <w:szCs w:val="24"/>
        </w:rPr>
        <w:t xml:space="preserve"> In his plea he primarily denied any allegation of </w:t>
      </w:r>
      <w:r w:rsidR="00154C3A" w:rsidRPr="00702494">
        <w:rPr>
          <w:rFonts w:ascii="Times New Roman" w:hAnsi="Times New Roman" w:cs="Times New Roman"/>
          <w:sz w:val="24"/>
          <w:szCs w:val="24"/>
        </w:rPr>
        <w:t>indebtedness and claimed that liability was with his former employer who he blamed for his default.</w:t>
      </w:r>
      <w:r w:rsidR="006D2BDF" w:rsidRPr="00702494">
        <w:rPr>
          <w:rFonts w:ascii="Times New Roman" w:hAnsi="Times New Roman" w:cs="Times New Roman"/>
          <w:sz w:val="24"/>
          <w:szCs w:val="24"/>
        </w:rPr>
        <w:t xml:space="preserve"> Feeling that the respondent does not have a valid defence at law, the applicant filed the present application for a summary judgment.</w:t>
      </w:r>
    </w:p>
    <w:p w:rsidR="00DD60DD" w:rsidRPr="00702494" w:rsidRDefault="00B14810" w:rsidP="00702494">
      <w:pPr>
        <w:spacing w:after="0" w:line="360" w:lineRule="auto"/>
        <w:ind w:firstLine="600"/>
        <w:jc w:val="both"/>
        <w:rPr>
          <w:rFonts w:ascii="Times New Roman" w:hAnsi="Times New Roman" w:cs="Times New Roman"/>
          <w:sz w:val="24"/>
          <w:szCs w:val="24"/>
        </w:rPr>
      </w:pPr>
      <w:r w:rsidRPr="00702494">
        <w:rPr>
          <w:rFonts w:ascii="Times New Roman" w:hAnsi="Times New Roman" w:cs="Times New Roman"/>
          <w:sz w:val="24"/>
          <w:szCs w:val="24"/>
        </w:rPr>
        <w:t>T</w:t>
      </w:r>
      <w:r w:rsidR="00DD60DD" w:rsidRPr="00702494">
        <w:rPr>
          <w:rFonts w:ascii="Times New Roman" w:hAnsi="Times New Roman" w:cs="Times New Roman"/>
          <w:sz w:val="24"/>
          <w:szCs w:val="24"/>
        </w:rPr>
        <w:t>his</w:t>
      </w:r>
      <w:r w:rsidRPr="00702494">
        <w:rPr>
          <w:rFonts w:ascii="Times New Roman" w:hAnsi="Times New Roman" w:cs="Times New Roman"/>
          <w:sz w:val="24"/>
          <w:szCs w:val="24"/>
        </w:rPr>
        <w:t xml:space="preserve"> application mounted by the applicant for Summary Judgment has been</w:t>
      </w:r>
      <w:r w:rsidR="00DD60DD" w:rsidRPr="00702494">
        <w:rPr>
          <w:rFonts w:ascii="Times New Roman" w:hAnsi="Times New Roman" w:cs="Times New Roman"/>
          <w:sz w:val="24"/>
          <w:szCs w:val="24"/>
        </w:rPr>
        <w:t xml:space="preserve"> done in terms of Order 10 </w:t>
      </w:r>
      <w:r w:rsidR="00702494">
        <w:rPr>
          <w:rFonts w:ascii="Times New Roman" w:hAnsi="Times New Roman" w:cs="Times New Roman"/>
          <w:sz w:val="24"/>
          <w:szCs w:val="24"/>
        </w:rPr>
        <w:t>r</w:t>
      </w:r>
      <w:r w:rsidR="00DD60DD" w:rsidRPr="00702494">
        <w:rPr>
          <w:rFonts w:ascii="Times New Roman" w:hAnsi="Times New Roman" w:cs="Times New Roman"/>
          <w:sz w:val="24"/>
          <w:szCs w:val="24"/>
        </w:rPr>
        <w:t xml:space="preserve"> 64 of the High Court Rules which reads:</w:t>
      </w:r>
    </w:p>
    <w:p w:rsidR="00DD60DD" w:rsidRDefault="00702494" w:rsidP="00702494">
      <w:pPr>
        <w:spacing w:after="0" w:line="240" w:lineRule="auto"/>
        <w:ind w:left="600"/>
        <w:jc w:val="both"/>
        <w:rPr>
          <w:rFonts w:ascii="Times New Roman" w:hAnsi="Times New Roman" w:cs="Times New Roman"/>
          <w:sz w:val="24"/>
          <w:szCs w:val="24"/>
        </w:rPr>
      </w:pPr>
      <w:r>
        <w:rPr>
          <w:rFonts w:ascii="Times New Roman" w:hAnsi="Times New Roman" w:cs="Times New Roman"/>
        </w:rPr>
        <w:t>“(1) Where the r</w:t>
      </w:r>
      <w:r w:rsidR="00DD60DD" w:rsidRPr="00702494">
        <w:rPr>
          <w:rFonts w:ascii="Times New Roman" w:hAnsi="Times New Roman" w:cs="Times New Roman"/>
        </w:rPr>
        <w:t>espondent has entere</w:t>
      </w:r>
      <w:r>
        <w:rPr>
          <w:rFonts w:ascii="Times New Roman" w:hAnsi="Times New Roman" w:cs="Times New Roman"/>
        </w:rPr>
        <w:t>d appearance to a summons, the a</w:t>
      </w:r>
      <w:r w:rsidR="00DD60DD" w:rsidRPr="00702494">
        <w:rPr>
          <w:rFonts w:ascii="Times New Roman" w:hAnsi="Times New Roman" w:cs="Times New Roman"/>
        </w:rPr>
        <w:t>pplicant may, at any time before a pretrial conference is held, make a court application in terms of this rule for the</w:t>
      </w:r>
      <w:r w:rsidR="00DD60DD" w:rsidRPr="00702494">
        <w:rPr>
          <w:rFonts w:ascii="Times New Roman" w:hAnsi="Times New Roman" w:cs="Times New Roman"/>
          <w:sz w:val="24"/>
          <w:szCs w:val="24"/>
        </w:rPr>
        <w:t xml:space="preserve"> court to enter summary judgment for what is claimed in the summons and coasts.”</w:t>
      </w:r>
    </w:p>
    <w:p w:rsidR="00702494" w:rsidRPr="00702494" w:rsidRDefault="00702494" w:rsidP="00702494">
      <w:pPr>
        <w:spacing w:after="0" w:line="240" w:lineRule="auto"/>
        <w:ind w:left="600"/>
        <w:jc w:val="both"/>
        <w:rPr>
          <w:rFonts w:ascii="Times New Roman" w:hAnsi="Times New Roman" w:cs="Times New Roman"/>
          <w:sz w:val="24"/>
          <w:szCs w:val="24"/>
        </w:rPr>
      </w:pPr>
    </w:p>
    <w:p w:rsidR="00AE1846" w:rsidRPr="00702494" w:rsidRDefault="00DD60DD" w:rsidP="00702494">
      <w:pPr>
        <w:spacing w:after="0" w:line="360" w:lineRule="auto"/>
        <w:ind w:firstLine="720"/>
        <w:jc w:val="both"/>
        <w:rPr>
          <w:rFonts w:ascii="Times New Roman" w:hAnsi="Times New Roman" w:cs="Times New Roman"/>
          <w:sz w:val="24"/>
          <w:szCs w:val="24"/>
        </w:rPr>
      </w:pPr>
      <w:r w:rsidRPr="00702494">
        <w:rPr>
          <w:rFonts w:ascii="Times New Roman" w:hAnsi="Times New Roman" w:cs="Times New Roman"/>
          <w:sz w:val="24"/>
          <w:szCs w:val="24"/>
        </w:rPr>
        <w:t>It is trite in our law that the objective of this remedy is to enable an applicant with a clear case, to obtain a swift enforcement of its claim agains</w:t>
      </w:r>
      <w:r w:rsidR="00FA30E4" w:rsidRPr="00702494">
        <w:rPr>
          <w:rFonts w:ascii="Times New Roman" w:hAnsi="Times New Roman" w:cs="Times New Roman"/>
          <w:sz w:val="24"/>
          <w:szCs w:val="24"/>
        </w:rPr>
        <w:t>t a respondent who the applican</w:t>
      </w:r>
      <w:r w:rsidRPr="00702494">
        <w:rPr>
          <w:rFonts w:ascii="Times New Roman" w:hAnsi="Times New Roman" w:cs="Times New Roman"/>
          <w:sz w:val="24"/>
          <w:szCs w:val="24"/>
        </w:rPr>
        <w:t>t</w:t>
      </w:r>
      <w:r w:rsidR="00FA30E4" w:rsidRPr="00702494">
        <w:rPr>
          <w:rFonts w:ascii="Times New Roman" w:hAnsi="Times New Roman" w:cs="Times New Roman"/>
          <w:sz w:val="24"/>
          <w:szCs w:val="24"/>
        </w:rPr>
        <w:t xml:space="preserve"> has a defence that is, if any, without substance in law and in fact. See </w:t>
      </w:r>
      <w:r w:rsidR="00FA30E4" w:rsidRPr="00702494">
        <w:rPr>
          <w:rFonts w:ascii="Times New Roman" w:hAnsi="Times New Roman" w:cs="Times New Roman"/>
          <w:i/>
          <w:sz w:val="24"/>
          <w:szCs w:val="24"/>
        </w:rPr>
        <w:t>Mbundire &amp; Anor</w:t>
      </w:r>
      <w:r w:rsidR="00FA30E4" w:rsidRPr="00702494">
        <w:rPr>
          <w:rFonts w:ascii="Times New Roman" w:hAnsi="Times New Roman" w:cs="Times New Roman"/>
          <w:sz w:val="24"/>
          <w:szCs w:val="24"/>
        </w:rPr>
        <w:t xml:space="preserve"> v </w:t>
      </w:r>
      <w:r w:rsidR="00FA30E4" w:rsidRPr="00702494">
        <w:rPr>
          <w:rFonts w:ascii="Times New Roman" w:hAnsi="Times New Roman" w:cs="Times New Roman"/>
          <w:i/>
          <w:sz w:val="24"/>
          <w:szCs w:val="24"/>
        </w:rPr>
        <w:t>Dalso Properties (Pvt) Ltd &amp; Others</w:t>
      </w:r>
      <w:r w:rsidR="00FA30E4" w:rsidRPr="00702494">
        <w:rPr>
          <w:rFonts w:ascii="Times New Roman" w:hAnsi="Times New Roman" w:cs="Times New Roman"/>
          <w:sz w:val="24"/>
          <w:szCs w:val="24"/>
        </w:rPr>
        <w:t xml:space="preserve"> [2017] ZWHHC 15; </w:t>
      </w:r>
      <w:r w:rsidR="00FA30E4" w:rsidRPr="00702494">
        <w:rPr>
          <w:rFonts w:ascii="Times New Roman" w:hAnsi="Times New Roman" w:cs="Times New Roman"/>
          <w:i/>
          <w:sz w:val="24"/>
          <w:szCs w:val="24"/>
        </w:rPr>
        <w:t>JetZone Consultancy (Pvt) Ltd</w:t>
      </w:r>
      <w:r w:rsidR="00FA30E4" w:rsidRPr="00702494">
        <w:rPr>
          <w:rFonts w:ascii="Times New Roman" w:hAnsi="Times New Roman" w:cs="Times New Roman"/>
          <w:sz w:val="24"/>
          <w:szCs w:val="24"/>
        </w:rPr>
        <w:t xml:space="preserve"> v </w:t>
      </w:r>
      <w:r w:rsidR="00FA30E4" w:rsidRPr="00702494">
        <w:rPr>
          <w:rFonts w:ascii="Times New Roman" w:hAnsi="Times New Roman" w:cs="Times New Roman"/>
          <w:i/>
          <w:sz w:val="24"/>
          <w:szCs w:val="24"/>
        </w:rPr>
        <w:t>Twenty</w:t>
      </w:r>
      <w:r w:rsidR="00FA30E4" w:rsidRPr="00702494">
        <w:rPr>
          <w:rFonts w:ascii="Times New Roman" w:hAnsi="Times New Roman" w:cs="Times New Roman"/>
          <w:sz w:val="24"/>
          <w:szCs w:val="24"/>
        </w:rPr>
        <w:t xml:space="preserve"> </w:t>
      </w:r>
      <w:r w:rsidR="00FA30E4" w:rsidRPr="00702494">
        <w:rPr>
          <w:rFonts w:ascii="Times New Roman" w:hAnsi="Times New Roman" w:cs="Times New Roman"/>
          <w:i/>
          <w:sz w:val="24"/>
          <w:szCs w:val="24"/>
        </w:rPr>
        <w:t>Third Century Systems (Pvt) Ltd</w:t>
      </w:r>
      <w:r w:rsidR="00FA30E4" w:rsidRPr="00702494">
        <w:rPr>
          <w:rFonts w:ascii="Times New Roman" w:hAnsi="Times New Roman" w:cs="Times New Roman"/>
          <w:sz w:val="24"/>
          <w:szCs w:val="24"/>
        </w:rPr>
        <w:t xml:space="preserve">, [2017] ZWHHC 16; </w:t>
      </w:r>
      <w:r w:rsidR="00FA30E4" w:rsidRPr="00702494">
        <w:rPr>
          <w:rFonts w:ascii="Times New Roman" w:hAnsi="Times New Roman" w:cs="Times New Roman"/>
          <w:i/>
          <w:sz w:val="24"/>
          <w:szCs w:val="24"/>
        </w:rPr>
        <w:t>Zimbabwe Phosphates Industries (Pvt) Ltd</w:t>
      </w:r>
      <w:r w:rsidR="00FA30E4" w:rsidRPr="00702494">
        <w:rPr>
          <w:rFonts w:ascii="Times New Roman" w:hAnsi="Times New Roman" w:cs="Times New Roman"/>
          <w:sz w:val="24"/>
          <w:szCs w:val="24"/>
        </w:rPr>
        <w:t xml:space="preserve"> v </w:t>
      </w:r>
      <w:r w:rsidR="00FA30E4" w:rsidRPr="00702494">
        <w:rPr>
          <w:rFonts w:ascii="Times New Roman" w:hAnsi="Times New Roman" w:cs="Times New Roman"/>
          <w:i/>
          <w:sz w:val="24"/>
          <w:szCs w:val="24"/>
        </w:rPr>
        <w:t>Windmill (Pvt) Ltd</w:t>
      </w:r>
      <w:r w:rsidR="00FA30E4" w:rsidRPr="00702494">
        <w:rPr>
          <w:rFonts w:ascii="Times New Roman" w:hAnsi="Times New Roman" w:cs="Times New Roman"/>
          <w:sz w:val="24"/>
          <w:szCs w:val="24"/>
        </w:rPr>
        <w:t xml:space="preserve"> </w:t>
      </w:r>
      <w:r w:rsidR="00F8241E" w:rsidRPr="00702494">
        <w:rPr>
          <w:rFonts w:ascii="Times New Roman" w:hAnsi="Times New Roman" w:cs="Times New Roman"/>
          <w:sz w:val="24"/>
          <w:szCs w:val="24"/>
        </w:rPr>
        <w:t xml:space="preserve">[2015] ZWHHC 300; and </w:t>
      </w:r>
      <w:r w:rsidR="00F8241E" w:rsidRPr="00702494">
        <w:rPr>
          <w:rFonts w:ascii="Times New Roman" w:hAnsi="Times New Roman" w:cs="Times New Roman"/>
          <w:i/>
          <w:sz w:val="24"/>
          <w:szCs w:val="24"/>
        </w:rPr>
        <w:t>Pitchford Investments (Pvt) Ltd</w:t>
      </w:r>
      <w:r w:rsidR="00F8241E" w:rsidRPr="00702494">
        <w:rPr>
          <w:rFonts w:ascii="Times New Roman" w:hAnsi="Times New Roman" w:cs="Times New Roman"/>
          <w:sz w:val="24"/>
          <w:szCs w:val="24"/>
        </w:rPr>
        <w:t xml:space="preserve"> v </w:t>
      </w:r>
      <w:r w:rsidR="00F8241E" w:rsidRPr="00702494">
        <w:rPr>
          <w:rFonts w:ascii="Times New Roman" w:hAnsi="Times New Roman" w:cs="Times New Roman"/>
          <w:i/>
          <w:sz w:val="24"/>
          <w:szCs w:val="24"/>
        </w:rPr>
        <w:t>Muzari</w:t>
      </w:r>
      <w:r w:rsidR="00F8241E" w:rsidRPr="00702494">
        <w:rPr>
          <w:rFonts w:ascii="Times New Roman" w:hAnsi="Times New Roman" w:cs="Times New Roman"/>
          <w:sz w:val="24"/>
          <w:szCs w:val="24"/>
        </w:rPr>
        <w:t xml:space="preserve"> 2005 (1) ZLR 1 (H).</w:t>
      </w:r>
    </w:p>
    <w:p w:rsidR="009A3F35" w:rsidRPr="00702494" w:rsidRDefault="00AE1846" w:rsidP="00702494">
      <w:pPr>
        <w:spacing w:after="0" w:line="360" w:lineRule="auto"/>
        <w:ind w:firstLine="720"/>
        <w:jc w:val="both"/>
        <w:rPr>
          <w:rFonts w:ascii="Times New Roman" w:hAnsi="Times New Roman" w:cs="Times New Roman"/>
          <w:sz w:val="24"/>
          <w:szCs w:val="24"/>
        </w:rPr>
      </w:pPr>
      <w:r w:rsidRPr="00702494">
        <w:rPr>
          <w:rFonts w:ascii="Times New Roman" w:hAnsi="Times New Roman" w:cs="Times New Roman"/>
          <w:sz w:val="24"/>
          <w:szCs w:val="24"/>
        </w:rPr>
        <w:t xml:space="preserve">In order to successfully resist an application for summary judgment a respondent in his opposing affidavit would be required to fully disclose the nature and grounds of his defence </w:t>
      </w:r>
      <w:r w:rsidR="00094066">
        <w:rPr>
          <w:rFonts w:ascii="Times New Roman" w:hAnsi="Times New Roman" w:cs="Times New Roman"/>
          <w:sz w:val="24"/>
          <w:szCs w:val="24"/>
        </w:rPr>
        <w:t xml:space="preserve">as well as </w:t>
      </w:r>
      <w:r w:rsidR="00094066" w:rsidRPr="00702494">
        <w:rPr>
          <w:rFonts w:ascii="Times New Roman" w:hAnsi="Times New Roman" w:cs="Times New Roman"/>
          <w:sz w:val="24"/>
          <w:szCs w:val="24"/>
        </w:rPr>
        <w:t>the material facts on which it is based in a way that would satisfy the court that he has</w:t>
      </w:r>
      <w:r w:rsidRPr="00702494">
        <w:rPr>
          <w:rFonts w:ascii="Times New Roman" w:hAnsi="Times New Roman" w:cs="Times New Roman"/>
          <w:sz w:val="24"/>
          <w:szCs w:val="24"/>
        </w:rPr>
        <w:t xml:space="preserve"> good prima facie defence to the action</w:t>
      </w:r>
      <w:r w:rsidR="008F00A5" w:rsidRPr="00702494">
        <w:rPr>
          <w:rFonts w:ascii="Times New Roman" w:hAnsi="Times New Roman" w:cs="Times New Roman"/>
          <w:sz w:val="24"/>
          <w:szCs w:val="24"/>
        </w:rPr>
        <w:t xml:space="preserve">; see De Villiers v Human and Another [2016] ZAECGHC 85. However, not every defence raised by a respondent will succeed in defeating an applicant’s claim. See </w:t>
      </w:r>
      <w:r w:rsidR="008F00A5" w:rsidRPr="00702494">
        <w:rPr>
          <w:rFonts w:ascii="Times New Roman" w:hAnsi="Times New Roman" w:cs="Times New Roman"/>
          <w:i/>
          <w:sz w:val="24"/>
          <w:szCs w:val="24"/>
        </w:rPr>
        <w:t>B</w:t>
      </w:r>
      <w:r w:rsidR="00702494" w:rsidRPr="00702494">
        <w:rPr>
          <w:rFonts w:ascii="Times New Roman" w:hAnsi="Times New Roman" w:cs="Times New Roman"/>
          <w:i/>
          <w:sz w:val="24"/>
          <w:szCs w:val="24"/>
        </w:rPr>
        <w:t>ulawa</w:t>
      </w:r>
      <w:r w:rsidR="008F00A5" w:rsidRPr="00702494">
        <w:rPr>
          <w:rFonts w:ascii="Times New Roman" w:hAnsi="Times New Roman" w:cs="Times New Roman"/>
          <w:i/>
          <w:sz w:val="24"/>
          <w:szCs w:val="24"/>
        </w:rPr>
        <w:t>yo City Council</w:t>
      </w:r>
      <w:r w:rsidR="008F00A5" w:rsidRPr="00702494">
        <w:rPr>
          <w:rFonts w:ascii="Times New Roman" w:hAnsi="Times New Roman" w:cs="Times New Roman"/>
          <w:sz w:val="24"/>
          <w:szCs w:val="24"/>
        </w:rPr>
        <w:t xml:space="preserve"> v </w:t>
      </w:r>
      <w:r w:rsidR="008F00A5" w:rsidRPr="00702494">
        <w:rPr>
          <w:rFonts w:ascii="Times New Roman" w:hAnsi="Times New Roman" w:cs="Times New Roman"/>
          <w:i/>
          <w:sz w:val="24"/>
          <w:szCs w:val="24"/>
        </w:rPr>
        <w:t>Trishul Properties</w:t>
      </w:r>
      <w:r w:rsidR="008F00A5" w:rsidRPr="00702494">
        <w:rPr>
          <w:rFonts w:ascii="Times New Roman" w:hAnsi="Times New Roman" w:cs="Times New Roman"/>
          <w:sz w:val="24"/>
          <w:szCs w:val="24"/>
        </w:rPr>
        <w:t xml:space="preserve"> [2015] ZWBHC 04.</w:t>
      </w:r>
    </w:p>
    <w:p w:rsidR="00B75E78" w:rsidRPr="00702494" w:rsidRDefault="009A3F35" w:rsidP="00702494">
      <w:pPr>
        <w:spacing w:after="0" w:line="360" w:lineRule="auto"/>
        <w:ind w:firstLine="720"/>
        <w:jc w:val="both"/>
        <w:rPr>
          <w:rFonts w:ascii="Times New Roman" w:hAnsi="Times New Roman" w:cs="Times New Roman"/>
          <w:sz w:val="24"/>
          <w:szCs w:val="24"/>
        </w:rPr>
      </w:pPr>
      <w:r w:rsidRPr="00702494">
        <w:rPr>
          <w:rFonts w:ascii="Times New Roman" w:hAnsi="Times New Roman" w:cs="Times New Roman"/>
          <w:sz w:val="24"/>
          <w:szCs w:val="24"/>
        </w:rPr>
        <w:t xml:space="preserve">In </w:t>
      </w:r>
      <w:r w:rsidRPr="00702494">
        <w:rPr>
          <w:rFonts w:ascii="Times New Roman" w:hAnsi="Times New Roman" w:cs="Times New Roman"/>
          <w:i/>
          <w:sz w:val="24"/>
          <w:szCs w:val="24"/>
        </w:rPr>
        <w:t>casu</w:t>
      </w:r>
      <w:r w:rsidR="002666ED" w:rsidRPr="00702494">
        <w:rPr>
          <w:rFonts w:ascii="Times New Roman" w:hAnsi="Times New Roman" w:cs="Times New Roman"/>
          <w:sz w:val="24"/>
          <w:szCs w:val="24"/>
        </w:rPr>
        <w:t>,</w:t>
      </w:r>
      <w:r w:rsidRPr="00702494">
        <w:rPr>
          <w:rFonts w:ascii="Times New Roman" w:hAnsi="Times New Roman" w:cs="Times New Roman"/>
          <w:sz w:val="24"/>
          <w:szCs w:val="24"/>
        </w:rPr>
        <w:t xml:space="preserve"> it is not in dispute that the respondent entered into a written agreement </w:t>
      </w:r>
      <w:r w:rsidR="009E4C29" w:rsidRPr="00702494">
        <w:rPr>
          <w:rFonts w:ascii="Times New Roman" w:hAnsi="Times New Roman" w:cs="Times New Roman"/>
          <w:sz w:val="24"/>
          <w:szCs w:val="24"/>
        </w:rPr>
        <w:t xml:space="preserve">in 2014 </w:t>
      </w:r>
      <w:r w:rsidRPr="00702494">
        <w:rPr>
          <w:rFonts w:ascii="Times New Roman" w:hAnsi="Times New Roman" w:cs="Times New Roman"/>
          <w:sz w:val="24"/>
          <w:szCs w:val="24"/>
        </w:rPr>
        <w:t>in terms of which the applicant extended a loan facility in the sum of US$41 509.00. It is not in dispute that the respondent accessed and used the funds in question. It is not in dispute that the respondent never made monthly repayments but lump sum payments after requests were made by the applicant. It is not in dispute that as at the time the summons was issued up to today the respondent still owes the applicant</w:t>
      </w:r>
      <w:r w:rsidR="009E4C29" w:rsidRPr="00702494">
        <w:rPr>
          <w:rFonts w:ascii="Times New Roman" w:hAnsi="Times New Roman" w:cs="Times New Roman"/>
          <w:sz w:val="24"/>
          <w:szCs w:val="24"/>
        </w:rPr>
        <w:t xml:space="preserve"> an amount of US$33 405.29 excluding interests and other charges. The respondent set out various objections to this application in his Opposing Affidavit </w:t>
      </w:r>
      <w:r w:rsidR="009E4C29" w:rsidRPr="00702494">
        <w:rPr>
          <w:rFonts w:ascii="Times New Roman" w:hAnsi="Times New Roman" w:cs="Times New Roman"/>
          <w:sz w:val="24"/>
          <w:szCs w:val="24"/>
        </w:rPr>
        <w:lastRenderedPageBreak/>
        <w:t>which primarily revolved around justifying his defaults as well as reasons why he should be allowed to evade any liability to the applicant’s in terms of the facility agreement in question such as not having been place in mora</w:t>
      </w:r>
      <w:r w:rsidR="00B75E78" w:rsidRPr="00702494">
        <w:rPr>
          <w:rFonts w:ascii="Times New Roman" w:hAnsi="Times New Roman" w:cs="Times New Roman"/>
          <w:sz w:val="24"/>
          <w:szCs w:val="24"/>
        </w:rPr>
        <w:t>.</w:t>
      </w:r>
    </w:p>
    <w:p w:rsidR="00B75E78" w:rsidRPr="00702494" w:rsidRDefault="00B75E78" w:rsidP="00702494">
      <w:pPr>
        <w:spacing w:after="0" w:line="360" w:lineRule="auto"/>
        <w:ind w:firstLine="720"/>
        <w:jc w:val="both"/>
        <w:rPr>
          <w:rFonts w:ascii="Times New Roman" w:hAnsi="Times New Roman" w:cs="Times New Roman"/>
          <w:sz w:val="24"/>
          <w:szCs w:val="24"/>
        </w:rPr>
      </w:pPr>
      <w:r w:rsidRPr="00702494">
        <w:rPr>
          <w:rFonts w:ascii="Times New Roman" w:hAnsi="Times New Roman" w:cs="Times New Roman"/>
          <w:sz w:val="24"/>
          <w:szCs w:val="24"/>
        </w:rPr>
        <w:t xml:space="preserve">However, as an example, on or about </w:t>
      </w:r>
      <w:r w:rsidR="00702494">
        <w:rPr>
          <w:rFonts w:ascii="Times New Roman" w:hAnsi="Times New Roman" w:cs="Times New Roman"/>
          <w:sz w:val="24"/>
          <w:szCs w:val="24"/>
        </w:rPr>
        <w:t>11</w:t>
      </w:r>
      <w:r w:rsidRPr="00702494">
        <w:rPr>
          <w:rFonts w:ascii="Times New Roman" w:hAnsi="Times New Roman" w:cs="Times New Roman"/>
          <w:sz w:val="24"/>
          <w:szCs w:val="24"/>
        </w:rPr>
        <w:t xml:space="preserve"> September 2017 the respondent was served with a letter of demand placing him in mora wh</w:t>
      </w:r>
      <w:r w:rsidR="00702494">
        <w:rPr>
          <w:rFonts w:ascii="Times New Roman" w:hAnsi="Times New Roman" w:cs="Times New Roman"/>
          <w:sz w:val="24"/>
          <w:szCs w:val="24"/>
        </w:rPr>
        <w:t xml:space="preserve">ich consequently eroded the 120 </w:t>
      </w:r>
      <w:r w:rsidRPr="00702494">
        <w:rPr>
          <w:rFonts w:ascii="Times New Roman" w:hAnsi="Times New Roman" w:cs="Times New Roman"/>
          <w:sz w:val="24"/>
          <w:szCs w:val="24"/>
        </w:rPr>
        <w:t xml:space="preserve">month lifespan of the facility and made it immediately and entirely payable. In my view there are no triable issues in this </w:t>
      </w:r>
      <w:r w:rsidR="00702494">
        <w:rPr>
          <w:rFonts w:ascii="Times New Roman" w:hAnsi="Times New Roman" w:cs="Times New Roman"/>
          <w:sz w:val="24"/>
          <w:szCs w:val="24"/>
        </w:rPr>
        <w:t>case hence the application for summary j</w:t>
      </w:r>
      <w:r w:rsidRPr="00702494">
        <w:rPr>
          <w:rFonts w:ascii="Times New Roman" w:hAnsi="Times New Roman" w:cs="Times New Roman"/>
          <w:sz w:val="24"/>
          <w:szCs w:val="24"/>
        </w:rPr>
        <w:t>udgment has merit. It is therefore granted.</w:t>
      </w:r>
    </w:p>
    <w:p w:rsidR="00B75E78" w:rsidRPr="00702494" w:rsidRDefault="00B75E78" w:rsidP="00702494">
      <w:pPr>
        <w:spacing w:line="360" w:lineRule="auto"/>
        <w:ind w:firstLine="720"/>
        <w:jc w:val="both"/>
        <w:rPr>
          <w:rFonts w:ascii="Times New Roman" w:hAnsi="Times New Roman" w:cs="Times New Roman"/>
          <w:sz w:val="24"/>
          <w:szCs w:val="24"/>
        </w:rPr>
      </w:pPr>
      <w:r w:rsidRPr="00702494">
        <w:rPr>
          <w:rFonts w:ascii="Times New Roman" w:hAnsi="Times New Roman" w:cs="Times New Roman"/>
          <w:sz w:val="24"/>
          <w:szCs w:val="24"/>
        </w:rPr>
        <w:t>IT IS ORDERED THAT</w:t>
      </w:r>
    </w:p>
    <w:p w:rsidR="00B75E78" w:rsidRPr="00702494" w:rsidRDefault="00B75E78" w:rsidP="00702494">
      <w:pPr>
        <w:pStyle w:val="ListParagraph"/>
        <w:numPr>
          <w:ilvl w:val="0"/>
          <w:numId w:val="1"/>
        </w:numPr>
        <w:spacing w:line="360" w:lineRule="auto"/>
        <w:jc w:val="both"/>
        <w:rPr>
          <w:rFonts w:ascii="Times New Roman" w:hAnsi="Times New Roman" w:cs="Times New Roman"/>
          <w:sz w:val="24"/>
          <w:szCs w:val="24"/>
        </w:rPr>
      </w:pPr>
      <w:r w:rsidRPr="00702494">
        <w:rPr>
          <w:rFonts w:ascii="Times New Roman" w:hAnsi="Times New Roman" w:cs="Times New Roman"/>
          <w:sz w:val="24"/>
          <w:szCs w:val="24"/>
        </w:rPr>
        <w:t>Summary Judgment be and is hereby granted in favor of the Applicant as follows-</w:t>
      </w:r>
    </w:p>
    <w:p w:rsidR="00B75E78" w:rsidRPr="00702494" w:rsidRDefault="00B75E78" w:rsidP="00702494">
      <w:pPr>
        <w:pStyle w:val="ListParagraph"/>
        <w:numPr>
          <w:ilvl w:val="0"/>
          <w:numId w:val="2"/>
        </w:numPr>
        <w:spacing w:line="360" w:lineRule="auto"/>
        <w:jc w:val="both"/>
        <w:rPr>
          <w:rFonts w:ascii="Times New Roman" w:hAnsi="Times New Roman" w:cs="Times New Roman"/>
          <w:sz w:val="24"/>
          <w:szCs w:val="24"/>
        </w:rPr>
      </w:pPr>
      <w:r w:rsidRPr="00702494">
        <w:rPr>
          <w:rFonts w:ascii="Times New Roman" w:hAnsi="Times New Roman" w:cs="Times New Roman"/>
          <w:sz w:val="24"/>
          <w:szCs w:val="24"/>
        </w:rPr>
        <w:t>Payment of US$33 405.29 being the capital debt;</w:t>
      </w:r>
    </w:p>
    <w:p w:rsidR="00B75E78" w:rsidRPr="00702494" w:rsidRDefault="00B75E78" w:rsidP="00702494">
      <w:pPr>
        <w:pStyle w:val="ListParagraph"/>
        <w:numPr>
          <w:ilvl w:val="0"/>
          <w:numId w:val="2"/>
        </w:numPr>
        <w:spacing w:line="360" w:lineRule="auto"/>
        <w:jc w:val="both"/>
        <w:rPr>
          <w:rFonts w:ascii="Times New Roman" w:hAnsi="Times New Roman" w:cs="Times New Roman"/>
          <w:sz w:val="24"/>
          <w:szCs w:val="24"/>
        </w:rPr>
      </w:pPr>
      <w:r w:rsidRPr="00702494">
        <w:rPr>
          <w:rFonts w:ascii="Times New Roman" w:hAnsi="Times New Roman" w:cs="Times New Roman"/>
          <w:sz w:val="24"/>
          <w:szCs w:val="24"/>
        </w:rPr>
        <w:t>Payment of interest at the prescribed rate calculated from September 2018 to date of full and final payment;</w:t>
      </w:r>
    </w:p>
    <w:p w:rsidR="00F3640E" w:rsidRPr="00702494" w:rsidRDefault="00B75E78" w:rsidP="00702494">
      <w:pPr>
        <w:pStyle w:val="ListParagraph"/>
        <w:numPr>
          <w:ilvl w:val="0"/>
          <w:numId w:val="2"/>
        </w:numPr>
        <w:spacing w:line="360" w:lineRule="auto"/>
        <w:jc w:val="both"/>
        <w:rPr>
          <w:rFonts w:ascii="Times New Roman" w:hAnsi="Times New Roman" w:cs="Times New Roman"/>
          <w:sz w:val="24"/>
          <w:szCs w:val="24"/>
        </w:rPr>
      </w:pPr>
      <w:r w:rsidRPr="00702494">
        <w:rPr>
          <w:rFonts w:ascii="Times New Roman" w:hAnsi="Times New Roman" w:cs="Times New Roman"/>
          <w:sz w:val="24"/>
          <w:szCs w:val="24"/>
        </w:rPr>
        <w:t xml:space="preserve">An order that the property situated in the District of Selukwe called Stand 468 Selukwe Township under Deed of Transfer number 1052/2014 be declared </w:t>
      </w:r>
      <w:r w:rsidR="00F3640E" w:rsidRPr="00702494">
        <w:rPr>
          <w:rFonts w:ascii="Times New Roman" w:hAnsi="Times New Roman" w:cs="Times New Roman"/>
          <w:sz w:val="24"/>
          <w:szCs w:val="24"/>
        </w:rPr>
        <w:t>specially executable;</w:t>
      </w:r>
    </w:p>
    <w:p w:rsidR="00F3640E" w:rsidRPr="00702494" w:rsidRDefault="00F3640E" w:rsidP="00702494">
      <w:pPr>
        <w:pStyle w:val="ListParagraph"/>
        <w:numPr>
          <w:ilvl w:val="0"/>
          <w:numId w:val="2"/>
        </w:numPr>
        <w:spacing w:line="360" w:lineRule="auto"/>
        <w:jc w:val="both"/>
        <w:rPr>
          <w:rFonts w:ascii="Times New Roman" w:hAnsi="Times New Roman" w:cs="Times New Roman"/>
          <w:sz w:val="24"/>
          <w:szCs w:val="24"/>
        </w:rPr>
      </w:pPr>
      <w:r w:rsidRPr="00702494">
        <w:rPr>
          <w:rFonts w:ascii="Times New Roman" w:hAnsi="Times New Roman" w:cs="Times New Roman"/>
          <w:sz w:val="24"/>
          <w:szCs w:val="24"/>
        </w:rPr>
        <w:t xml:space="preserve">Payment </w:t>
      </w:r>
      <w:r w:rsidR="00702494">
        <w:rPr>
          <w:rFonts w:ascii="Times New Roman" w:hAnsi="Times New Roman" w:cs="Times New Roman"/>
          <w:sz w:val="24"/>
          <w:szCs w:val="24"/>
        </w:rPr>
        <w:t>of costs of suit on an attorney</w:t>
      </w:r>
      <w:r w:rsidRPr="00702494">
        <w:rPr>
          <w:rFonts w:ascii="Times New Roman" w:hAnsi="Times New Roman" w:cs="Times New Roman"/>
          <w:sz w:val="24"/>
          <w:szCs w:val="24"/>
        </w:rPr>
        <w:t>–client scale.</w:t>
      </w:r>
    </w:p>
    <w:p w:rsidR="00F3640E" w:rsidRPr="00702494" w:rsidRDefault="00F3640E" w:rsidP="00702494">
      <w:pPr>
        <w:spacing w:line="360" w:lineRule="auto"/>
        <w:jc w:val="both"/>
        <w:rPr>
          <w:rFonts w:ascii="Times New Roman" w:hAnsi="Times New Roman" w:cs="Times New Roman"/>
          <w:sz w:val="24"/>
          <w:szCs w:val="24"/>
        </w:rPr>
      </w:pPr>
    </w:p>
    <w:p w:rsidR="00F3640E" w:rsidRPr="00702494" w:rsidRDefault="00F3640E" w:rsidP="00702494">
      <w:pPr>
        <w:spacing w:line="360" w:lineRule="auto"/>
        <w:jc w:val="both"/>
        <w:rPr>
          <w:rFonts w:ascii="Times New Roman" w:hAnsi="Times New Roman" w:cs="Times New Roman"/>
          <w:sz w:val="24"/>
          <w:szCs w:val="24"/>
        </w:rPr>
      </w:pPr>
    </w:p>
    <w:p w:rsidR="00F3640E" w:rsidRPr="00702494" w:rsidRDefault="00702494" w:rsidP="00702494">
      <w:pPr>
        <w:pStyle w:val="NoSpacing"/>
        <w:jc w:val="both"/>
        <w:rPr>
          <w:rFonts w:ascii="Times New Roman" w:hAnsi="Times New Roman" w:cs="Times New Roman"/>
          <w:sz w:val="24"/>
          <w:szCs w:val="24"/>
        </w:rPr>
      </w:pPr>
      <w:r>
        <w:rPr>
          <w:rFonts w:ascii="Times New Roman" w:hAnsi="Times New Roman" w:cs="Times New Roman"/>
          <w:i/>
          <w:sz w:val="24"/>
          <w:szCs w:val="24"/>
        </w:rPr>
        <w:t>Dube-Banda, Nzarayapenga &amp; P</w:t>
      </w:r>
      <w:r w:rsidR="00F3640E" w:rsidRPr="00702494">
        <w:rPr>
          <w:rFonts w:ascii="Times New Roman" w:hAnsi="Times New Roman" w:cs="Times New Roman"/>
          <w:i/>
          <w:sz w:val="24"/>
          <w:szCs w:val="24"/>
        </w:rPr>
        <w:t>artners</w:t>
      </w:r>
      <w:r w:rsidR="00F3640E" w:rsidRPr="00702494">
        <w:rPr>
          <w:rFonts w:ascii="Times New Roman" w:hAnsi="Times New Roman" w:cs="Times New Roman"/>
          <w:sz w:val="24"/>
          <w:szCs w:val="24"/>
        </w:rPr>
        <w:t>, applicant’s legal practitioners</w:t>
      </w:r>
    </w:p>
    <w:p w:rsidR="00D950AA" w:rsidRPr="00702494" w:rsidRDefault="00F3640E" w:rsidP="00702494">
      <w:pPr>
        <w:pStyle w:val="NoSpacing"/>
        <w:jc w:val="both"/>
        <w:rPr>
          <w:rFonts w:ascii="Times New Roman" w:hAnsi="Times New Roman" w:cs="Times New Roman"/>
          <w:sz w:val="24"/>
          <w:szCs w:val="24"/>
        </w:rPr>
      </w:pPr>
      <w:r w:rsidRPr="00702494">
        <w:rPr>
          <w:rFonts w:ascii="Times New Roman" w:hAnsi="Times New Roman" w:cs="Times New Roman"/>
          <w:i/>
          <w:sz w:val="24"/>
          <w:szCs w:val="24"/>
        </w:rPr>
        <w:t>Kwenda &amp; Chagwiza</w:t>
      </w:r>
      <w:r w:rsidRPr="00702494">
        <w:rPr>
          <w:rFonts w:ascii="Times New Roman" w:hAnsi="Times New Roman" w:cs="Times New Roman"/>
          <w:sz w:val="24"/>
          <w:szCs w:val="24"/>
        </w:rPr>
        <w:t xml:space="preserve">, respondent’s legal practitioners </w:t>
      </w:r>
      <w:r w:rsidR="00B75E78" w:rsidRPr="00702494">
        <w:rPr>
          <w:rFonts w:ascii="Times New Roman" w:hAnsi="Times New Roman" w:cs="Times New Roman"/>
          <w:sz w:val="24"/>
          <w:szCs w:val="24"/>
        </w:rPr>
        <w:t xml:space="preserve">    </w:t>
      </w:r>
      <w:r w:rsidR="009E4C29" w:rsidRPr="00702494">
        <w:rPr>
          <w:rFonts w:ascii="Times New Roman" w:hAnsi="Times New Roman" w:cs="Times New Roman"/>
          <w:sz w:val="24"/>
          <w:szCs w:val="24"/>
        </w:rPr>
        <w:t xml:space="preserve">  </w:t>
      </w:r>
      <w:r w:rsidR="009A3F35" w:rsidRPr="00702494">
        <w:rPr>
          <w:rFonts w:ascii="Times New Roman" w:hAnsi="Times New Roman" w:cs="Times New Roman"/>
          <w:sz w:val="24"/>
          <w:szCs w:val="24"/>
        </w:rPr>
        <w:t xml:space="preserve">  </w:t>
      </w:r>
      <w:r w:rsidR="00FA30E4" w:rsidRPr="00702494">
        <w:rPr>
          <w:rFonts w:ascii="Times New Roman" w:hAnsi="Times New Roman" w:cs="Times New Roman"/>
          <w:sz w:val="24"/>
          <w:szCs w:val="24"/>
        </w:rPr>
        <w:t xml:space="preserve"> </w:t>
      </w:r>
      <w:r w:rsidR="00DD60DD" w:rsidRPr="00702494">
        <w:rPr>
          <w:rFonts w:ascii="Times New Roman" w:hAnsi="Times New Roman" w:cs="Times New Roman"/>
          <w:sz w:val="24"/>
          <w:szCs w:val="24"/>
        </w:rPr>
        <w:t xml:space="preserve">   </w:t>
      </w:r>
      <w:r w:rsidR="00B14810" w:rsidRPr="00702494">
        <w:rPr>
          <w:rFonts w:ascii="Times New Roman" w:hAnsi="Times New Roman" w:cs="Times New Roman"/>
          <w:sz w:val="24"/>
          <w:szCs w:val="24"/>
        </w:rPr>
        <w:t xml:space="preserve"> </w:t>
      </w:r>
      <w:r w:rsidR="00154C3A" w:rsidRPr="00702494">
        <w:rPr>
          <w:rFonts w:ascii="Times New Roman" w:hAnsi="Times New Roman" w:cs="Times New Roman"/>
          <w:sz w:val="24"/>
          <w:szCs w:val="24"/>
        </w:rPr>
        <w:t xml:space="preserve"> </w:t>
      </w:r>
      <w:r w:rsidR="007500B6" w:rsidRPr="00702494">
        <w:rPr>
          <w:rFonts w:ascii="Times New Roman" w:hAnsi="Times New Roman" w:cs="Times New Roman"/>
          <w:sz w:val="24"/>
          <w:szCs w:val="24"/>
        </w:rPr>
        <w:t xml:space="preserve">  </w:t>
      </w:r>
      <w:r w:rsidR="00C63A5C" w:rsidRPr="00702494">
        <w:rPr>
          <w:rFonts w:ascii="Times New Roman" w:hAnsi="Times New Roman" w:cs="Times New Roman"/>
          <w:sz w:val="24"/>
          <w:szCs w:val="24"/>
        </w:rPr>
        <w:t xml:space="preserve"> </w:t>
      </w:r>
      <w:r w:rsidR="00FB553A" w:rsidRPr="00702494">
        <w:rPr>
          <w:rFonts w:ascii="Times New Roman" w:hAnsi="Times New Roman" w:cs="Times New Roman"/>
          <w:sz w:val="24"/>
          <w:szCs w:val="24"/>
        </w:rPr>
        <w:t xml:space="preserve"> </w:t>
      </w:r>
    </w:p>
    <w:sectPr w:rsidR="00D950AA" w:rsidRPr="0070249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4FD" w:rsidRDefault="008A04FD" w:rsidP="00702494">
      <w:pPr>
        <w:spacing w:after="0" w:line="240" w:lineRule="auto"/>
      </w:pPr>
      <w:r>
        <w:separator/>
      </w:r>
    </w:p>
  </w:endnote>
  <w:endnote w:type="continuationSeparator" w:id="0">
    <w:p w:rsidR="008A04FD" w:rsidRDefault="008A04FD" w:rsidP="00702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4FD" w:rsidRDefault="008A04FD" w:rsidP="00702494">
      <w:pPr>
        <w:spacing w:after="0" w:line="240" w:lineRule="auto"/>
      </w:pPr>
      <w:r>
        <w:separator/>
      </w:r>
    </w:p>
  </w:footnote>
  <w:footnote w:type="continuationSeparator" w:id="0">
    <w:p w:rsidR="008A04FD" w:rsidRDefault="008A04FD" w:rsidP="007024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4150813"/>
      <w:docPartObj>
        <w:docPartGallery w:val="Page Numbers (Top of Page)"/>
        <w:docPartUnique/>
      </w:docPartObj>
    </w:sdtPr>
    <w:sdtEndPr>
      <w:rPr>
        <w:noProof/>
      </w:rPr>
    </w:sdtEndPr>
    <w:sdtContent>
      <w:p w:rsidR="00094066" w:rsidRDefault="00094066">
        <w:pPr>
          <w:pStyle w:val="Header"/>
          <w:jc w:val="right"/>
          <w:rPr>
            <w:noProof/>
          </w:rPr>
        </w:pPr>
        <w:r>
          <w:fldChar w:fldCharType="begin"/>
        </w:r>
        <w:r>
          <w:instrText xml:space="preserve"> PAGE   \* MERGEFORMAT </w:instrText>
        </w:r>
        <w:r>
          <w:fldChar w:fldCharType="separate"/>
        </w:r>
        <w:r w:rsidR="00BD2429">
          <w:rPr>
            <w:noProof/>
          </w:rPr>
          <w:t>1</w:t>
        </w:r>
        <w:r>
          <w:rPr>
            <w:noProof/>
          </w:rPr>
          <w:fldChar w:fldCharType="end"/>
        </w:r>
      </w:p>
      <w:p w:rsidR="00094066" w:rsidRDefault="00094066">
        <w:pPr>
          <w:pStyle w:val="Header"/>
          <w:jc w:val="right"/>
          <w:rPr>
            <w:noProof/>
          </w:rPr>
        </w:pPr>
        <w:r>
          <w:rPr>
            <w:noProof/>
          </w:rPr>
          <w:t>HH</w:t>
        </w:r>
        <w:r w:rsidR="003F4F59">
          <w:rPr>
            <w:noProof/>
          </w:rPr>
          <w:t xml:space="preserve"> </w:t>
        </w:r>
        <w:r w:rsidR="004E2BBE">
          <w:rPr>
            <w:noProof/>
          </w:rPr>
          <w:t>451-19</w:t>
        </w:r>
      </w:p>
      <w:p w:rsidR="00094066" w:rsidRDefault="00094066">
        <w:pPr>
          <w:pStyle w:val="Header"/>
          <w:jc w:val="right"/>
          <w:rPr>
            <w:noProof/>
          </w:rPr>
        </w:pPr>
        <w:r>
          <w:rPr>
            <w:noProof/>
          </w:rPr>
          <w:t>HC 10958/18</w:t>
        </w:r>
      </w:p>
      <w:p w:rsidR="00094066" w:rsidRDefault="00094066">
        <w:pPr>
          <w:pStyle w:val="Header"/>
          <w:jc w:val="right"/>
        </w:pPr>
        <w:r>
          <w:rPr>
            <w:noProof/>
          </w:rPr>
          <w:t>REF CASE HC 8591/18</w:t>
        </w:r>
      </w:p>
    </w:sdtContent>
  </w:sdt>
  <w:p w:rsidR="00702494" w:rsidRDefault="0070249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B67E31"/>
    <w:multiLevelType w:val="hybridMultilevel"/>
    <w:tmpl w:val="6FD485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9454A6"/>
    <w:multiLevelType w:val="hybridMultilevel"/>
    <w:tmpl w:val="6CE4F3FA"/>
    <w:lvl w:ilvl="0" w:tplc="7076C30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0AA"/>
    <w:rsid w:val="00090C00"/>
    <w:rsid w:val="00094066"/>
    <w:rsid w:val="000D4C85"/>
    <w:rsid w:val="00125747"/>
    <w:rsid w:val="00154C3A"/>
    <w:rsid w:val="002666ED"/>
    <w:rsid w:val="003F4F59"/>
    <w:rsid w:val="00477457"/>
    <w:rsid w:val="004E2BBE"/>
    <w:rsid w:val="0064441B"/>
    <w:rsid w:val="006D2BDF"/>
    <w:rsid w:val="00702494"/>
    <w:rsid w:val="007500B6"/>
    <w:rsid w:val="00793694"/>
    <w:rsid w:val="007B69AB"/>
    <w:rsid w:val="008A04FD"/>
    <w:rsid w:val="008F00A5"/>
    <w:rsid w:val="009A3F35"/>
    <w:rsid w:val="009E4C29"/>
    <w:rsid w:val="00A3749D"/>
    <w:rsid w:val="00AB01DD"/>
    <w:rsid w:val="00AE1846"/>
    <w:rsid w:val="00B14810"/>
    <w:rsid w:val="00B443DB"/>
    <w:rsid w:val="00B6573B"/>
    <w:rsid w:val="00B75E78"/>
    <w:rsid w:val="00BD2429"/>
    <w:rsid w:val="00C63A5C"/>
    <w:rsid w:val="00D950AA"/>
    <w:rsid w:val="00DD60DD"/>
    <w:rsid w:val="00F3640E"/>
    <w:rsid w:val="00F66DEA"/>
    <w:rsid w:val="00F8241E"/>
    <w:rsid w:val="00FA30E4"/>
    <w:rsid w:val="00FB553A"/>
    <w:rsid w:val="00FE5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CDF6A4C-510F-4D56-A47D-F4011168E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50AA"/>
    <w:pPr>
      <w:spacing w:after="0" w:line="240" w:lineRule="auto"/>
    </w:pPr>
  </w:style>
  <w:style w:type="paragraph" w:styleId="ListParagraph">
    <w:name w:val="List Paragraph"/>
    <w:basedOn w:val="Normal"/>
    <w:uiPriority w:val="34"/>
    <w:qFormat/>
    <w:rsid w:val="00B75E78"/>
    <w:pPr>
      <w:ind w:left="720"/>
      <w:contextualSpacing/>
    </w:pPr>
  </w:style>
  <w:style w:type="paragraph" w:styleId="Header">
    <w:name w:val="header"/>
    <w:basedOn w:val="Normal"/>
    <w:link w:val="HeaderChar"/>
    <w:uiPriority w:val="99"/>
    <w:unhideWhenUsed/>
    <w:rsid w:val="007024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2494"/>
  </w:style>
  <w:style w:type="paragraph" w:styleId="Footer">
    <w:name w:val="footer"/>
    <w:basedOn w:val="Normal"/>
    <w:link w:val="FooterChar"/>
    <w:uiPriority w:val="99"/>
    <w:unhideWhenUsed/>
    <w:rsid w:val="007024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2494"/>
  </w:style>
  <w:style w:type="paragraph" w:styleId="BalloonText">
    <w:name w:val="Balloon Text"/>
    <w:basedOn w:val="Normal"/>
    <w:link w:val="BalloonTextChar"/>
    <w:uiPriority w:val="99"/>
    <w:semiHidden/>
    <w:unhideWhenUsed/>
    <w:rsid w:val="001257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7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841</Words>
  <Characters>4799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JSC</cp:lastModifiedBy>
  <cp:revision>2</cp:revision>
  <cp:lastPrinted>2019-06-28T10:43:00Z</cp:lastPrinted>
  <dcterms:created xsi:type="dcterms:W3CDTF">2019-07-08T07:14:00Z</dcterms:created>
  <dcterms:modified xsi:type="dcterms:W3CDTF">2019-07-08T07:14:00Z</dcterms:modified>
</cp:coreProperties>
</file>