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1F5" w:rsidRDefault="00D85F27" w:rsidP="003F799E">
      <w:pPr>
        <w:jc w:val="both"/>
      </w:pPr>
      <w:bookmarkStart w:id="0" w:name="_GoBack"/>
      <w:bookmarkEnd w:id="0"/>
      <w:r>
        <w:tab/>
      </w:r>
      <w:r>
        <w:tab/>
      </w:r>
      <w:r>
        <w:tab/>
      </w:r>
      <w:r>
        <w:tab/>
      </w:r>
    </w:p>
    <w:p w:rsidR="00C831F5" w:rsidRPr="00623182" w:rsidRDefault="00D85F27" w:rsidP="00F71E5F">
      <w:pPr>
        <w:spacing w:after="0" w:line="240" w:lineRule="auto"/>
        <w:jc w:val="both"/>
        <w:rPr>
          <w:rFonts w:ascii="Times New Roman" w:hAnsi="Times New Roman" w:cs="Times New Roman"/>
          <w:sz w:val="24"/>
          <w:szCs w:val="24"/>
        </w:rPr>
      </w:pPr>
      <w:r w:rsidRPr="00623182">
        <w:rPr>
          <w:rFonts w:ascii="Times New Roman" w:hAnsi="Times New Roman" w:cs="Times New Roman"/>
          <w:sz w:val="24"/>
          <w:szCs w:val="24"/>
        </w:rPr>
        <w:t>DNS</w:t>
      </w:r>
      <w:r w:rsidR="00C831F5" w:rsidRPr="00623182">
        <w:rPr>
          <w:rFonts w:ascii="Times New Roman" w:hAnsi="Times New Roman" w:cs="Times New Roman"/>
          <w:sz w:val="24"/>
          <w:szCs w:val="24"/>
        </w:rPr>
        <w:t xml:space="preserve"> (PVT) LTD</w:t>
      </w:r>
    </w:p>
    <w:p w:rsidR="00C831F5" w:rsidRPr="00623182" w:rsidRDefault="00F71E5F" w:rsidP="00F71E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D47887">
        <w:rPr>
          <w:rFonts w:ascii="Times New Roman" w:hAnsi="Times New Roman" w:cs="Times New Roman"/>
          <w:sz w:val="24"/>
          <w:szCs w:val="24"/>
        </w:rPr>
        <w:t>ersus</w:t>
      </w:r>
    </w:p>
    <w:p w:rsidR="00C831F5" w:rsidRPr="00623182" w:rsidRDefault="00C831F5" w:rsidP="00F71E5F">
      <w:pPr>
        <w:spacing w:after="0" w:line="240" w:lineRule="auto"/>
        <w:jc w:val="both"/>
        <w:rPr>
          <w:rFonts w:ascii="Times New Roman" w:hAnsi="Times New Roman" w:cs="Times New Roman"/>
          <w:sz w:val="24"/>
          <w:szCs w:val="24"/>
        </w:rPr>
      </w:pPr>
      <w:r w:rsidRPr="00623182">
        <w:rPr>
          <w:rFonts w:ascii="Times New Roman" w:hAnsi="Times New Roman" w:cs="Times New Roman"/>
          <w:sz w:val="24"/>
          <w:szCs w:val="24"/>
        </w:rPr>
        <w:t>ZIMBABWE REVENUE AUTHORITY</w:t>
      </w:r>
    </w:p>
    <w:p w:rsidR="00C831F5" w:rsidRDefault="00C831F5" w:rsidP="00F71E5F">
      <w:pPr>
        <w:spacing w:after="0" w:line="240" w:lineRule="auto"/>
        <w:jc w:val="both"/>
        <w:rPr>
          <w:rFonts w:ascii="Times New Roman" w:hAnsi="Times New Roman" w:cs="Times New Roman"/>
          <w:sz w:val="24"/>
          <w:szCs w:val="24"/>
        </w:rPr>
      </w:pPr>
    </w:p>
    <w:p w:rsidR="00F71E5F" w:rsidRPr="00623182" w:rsidRDefault="00F71E5F" w:rsidP="00F71E5F">
      <w:pPr>
        <w:spacing w:after="0" w:line="240" w:lineRule="auto"/>
        <w:jc w:val="both"/>
        <w:rPr>
          <w:rFonts w:ascii="Times New Roman" w:hAnsi="Times New Roman" w:cs="Times New Roman"/>
          <w:sz w:val="24"/>
          <w:szCs w:val="24"/>
        </w:rPr>
      </w:pPr>
    </w:p>
    <w:p w:rsidR="00C831F5" w:rsidRPr="00623182" w:rsidRDefault="00C831F5" w:rsidP="00F71E5F">
      <w:pPr>
        <w:spacing w:after="0" w:line="240" w:lineRule="auto"/>
        <w:jc w:val="both"/>
        <w:rPr>
          <w:rFonts w:ascii="Times New Roman" w:hAnsi="Times New Roman" w:cs="Times New Roman"/>
          <w:sz w:val="24"/>
          <w:szCs w:val="24"/>
        </w:rPr>
      </w:pPr>
      <w:r w:rsidRPr="00623182">
        <w:rPr>
          <w:rFonts w:ascii="Times New Roman" w:hAnsi="Times New Roman" w:cs="Times New Roman"/>
          <w:sz w:val="24"/>
          <w:szCs w:val="24"/>
        </w:rPr>
        <w:t>SPECIAL COURT FOR INCOME TAX APPEALS</w:t>
      </w:r>
    </w:p>
    <w:p w:rsidR="00C831F5" w:rsidRPr="00623182" w:rsidRDefault="00C831F5" w:rsidP="00F71E5F">
      <w:pPr>
        <w:spacing w:after="0" w:line="240" w:lineRule="auto"/>
        <w:jc w:val="both"/>
        <w:rPr>
          <w:rFonts w:ascii="Times New Roman" w:hAnsi="Times New Roman" w:cs="Times New Roman"/>
          <w:sz w:val="24"/>
          <w:szCs w:val="24"/>
        </w:rPr>
      </w:pPr>
      <w:r w:rsidRPr="00623182">
        <w:rPr>
          <w:rFonts w:ascii="Times New Roman" w:hAnsi="Times New Roman" w:cs="Times New Roman"/>
          <w:sz w:val="24"/>
          <w:szCs w:val="24"/>
        </w:rPr>
        <w:t>KUDYA J</w:t>
      </w:r>
    </w:p>
    <w:p w:rsidR="00C831F5" w:rsidRPr="00623182" w:rsidRDefault="00C831F5" w:rsidP="00F71E5F">
      <w:pPr>
        <w:spacing w:after="0" w:line="240" w:lineRule="auto"/>
        <w:jc w:val="both"/>
        <w:rPr>
          <w:rFonts w:ascii="Times New Roman" w:hAnsi="Times New Roman" w:cs="Times New Roman"/>
          <w:sz w:val="24"/>
          <w:szCs w:val="24"/>
        </w:rPr>
      </w:pPr>
      <w:r w:rsidRPr="00623182">
        <w:rPr>
          <w:rFonts w:ascii="Times New Roman" w:hAnsi="Times New Roman" w:cs="Times New Roman"/>
          <w:sz w:val="24"/>
          <w:szCs w:val="24"/>
        </w:rPr>
        <w:t xml:space="preserve">HARARE 3 October 2017 </w:t>
      </w:r>
      <w:r w:rsidR="00F71E5F">
        <w:rPr>
          <w:rFonts w:ascii="Times New Roman" w:hAnsi="Times New Roman" w:cs="Times New Roman"/>
          <w:sz w:val="24"/>
          <w:szCs w:val="24"/>
        </w:rPr>
        <w:t>&amp;</w:t>
      </w:r>
      <w:r w:rsidRPr="00623182">
        <w:rPr>
          <w:rFonts w:ascii="Times New Roman" w:hAnsi="Times New Roman" w:cs="Times New Roman"/>
          <w:sz w:val="24"/>
          <w:szCs w:val="24"/>
        </w:rPr>
        <w:t xml:space="preserve"> 7 November 2019</w:t>
      </w:r>
    </w:p>
    <w:p w:rsidR="00C831F5" w:rsidRPr="00623182" w:rsidRDefault="00C831F5" w:rsidP="00623182">
      <w:pPr>
        <w:spacing w:line="360" w:lineRule="auto"/>
        <w:jc w:val="both"/>
        <w:rPr>
          <w:rFonts w:ascii="Times New Roman" w:hAnsi="Times New Roman" w:cs="Times New Roman"/>
          <w:sz w:val="24"/>
          <w:szCs w:val="24"/>
        </w:rPr>
      </w:pPr>
    </w:p>
    <w:p w:rsidR="00C831F5" w:rsidRPr="00623182" w:rsidRDefault="00C831F5" w:rsidP="00623182">
      <w:pPr>
        <w:spacing w:line="360" w:lineRule="auto"/>
        <w:jc w:val="both"/>
        <w:rPr>
          <w:rFonts w:ascii="Times New Roman" w:hAnsi="Times New Roman" w:cs="Times New Roman"/>
          <w:b/>
          <w:sz w:val="24"/>
          <w:szCs w:val="24"/>
        </w:rPr>
      </w:pPr>
      <w:r w:rsidRPr="00623182">
        <w:rPr>
          <w:rFonts w:ascii="Times New Roman" w:hAnsi="Times New Roman" w:cs="Times New Roman"/>
          <w:b/>
          <w:sz w:val="24"/>
          <w:szCs w:val="24"/>
        </w:rPr>
        <w:t>Income Tax Appeal</w:t>
      </w:r>
    </w:p>
    <w:p w:rsidR="00F71E5F" w:rsidRDefault="00F71E5F" w:rsidP="00F71E5F">
      <w:pPr>
        <w:spacing w:after="0" w:line="240" w:lineRule="auto"/>
        <w:jc w:val="both"/>
        <w:rPr>
          <w:rFonts w:ascii="Times New Roman" w:hAnsi="Times New Roman" w:cs="Times New Roman"/>
          <w:i/>
          <w:sz w:val="24"/>
          <w:szCs w:val="24"/>
        </w:rPr>
      </w:pPr>
    </w:p>
    <w:p w:rsidR="00C831F5" w:rsidRPr="00623182" w:rsidRDefault="00C831F5" w:rsidP="00F71E5F">
      <w:pPr>
        <w:spacing w:after="0" w:line="240" w:lineRule="auto"/>
        <w:jc w:val="both"/>
        <w:rPr>
          <w:rFonts w:ascii="Times New Roman" w:hAnsi="Times New Roman" w:cs="Times New Roman"/>
          <w:sz w:val="24"/>
          <w:szCs w:val="24"/>
        </w:rPr>
      </w:pPr>
      <w:r w:rsidRPr="00623182">
        <w:rPr>
          <w:rFonts w:ascii="Times New Roman" w:hAnsi="Times New Roman" w:cs="Times New Roman"/>
          <w:i/>
          <w:sz w:val="24"/>
          <w:szCs w:val="24"/>
        </w:rPr>
        <w:t xml:space="preserve">AP de Bourbon, </w:t>
      </w:r>
      <w:r w:rsidRPr="00623182">
        <w:rPr>
          <w:rFonts w:ascii="Times New Roman" w:hAnsi="Times New Roman" w:cs="Times New Roman"/>
          <w:sz w:val="24"/>
          <w:szCs w:val="24"/>
        </w:rPr>
        <w:t>for the appellant</w:t>
      </w:r>
    </w:p>
    <w:p w:rsidR="00C831F5" w:rsidRDefault="00C831F5" w:rsidP="00F71E5F">
      <w:pPr>
        <w:spacing w:after="0" w:line="240" w:lineRule="auto"/>
        <w:jc w:val="both"/>
        <w:rPr>
          <w:rFonts w:ascii="Times New Roman" w:hAnsi="Times New Roman" w:cs="Times New Roman"/>
          <w:sz w:val="24"/>
          <w:szCs w:val="24"/>
        </w:rPr>
      </w:pPr>
      <w:r w:rsidRPr="00623182">
        <w:rPr>
          <w:rFonts w:ascii="Times New Roman" w:hAnsi="Times New Roman" w:cs="Times New Roman"/>
          <w:i/>
          <w:sz w:val="24"/>
          <w:szCs w:val="24"/>
        </w:rPr>
        <w:t xml:space="preserve">T Magwaliba, </w:t>
      </w:r>
      <w:r w:rsidRPr="00623182">
        <w:rPr>
          <w:rFonts w:ascii="Times New Roman" w:hAnsi="Times New Roman" w:cs="Times New Roman"/>
          <w:sz w:val="24"/>
          <w:szCs w:val="24"/>
        </w:rPr>
        <w:t>for the respondent</w:t>
      </w:r>
    </w:p>
    <w:p w:rsidR="00F71E5F" w:rsidRDefault="00F71E5F" w:rsidP="00F71E5F">
      <w:pPr>
        <w:spacing w:after="0" w:line="240" w:lineRule="auto"/>
        <w:jc w:val="both"/>
        <w:rPr>
          <w:rFonts w:ascii="Times New Roman" w:hAnsi="Times New Roman" w:cs="Times New Roman"/>
          <w:sz w:val="24"/>
          <w:szCs w:val="24"/>
        </w:rPr>
      </w:pPr>
    </w:p>
    <w:p w:rsidR="00F71E5F" w:rsidRPr="00623182" w:rsidRDefault="00F71E5F" w:rsidP="00F71E5F">
      <w:pPr>
        <w:spacing w:after="0" w:line="240" w:lineRule="auto"/>
        <w:jc w:val="both"/>
        <w:rPr>
          <w:rFonts w:ascii="Times New Roman" w:hAnsi="Times New Roman" w:cs="Times New Roman"/>
          <w:sz w:val="24"/>
          <w:szCs w:val="24"/>
        </w:rPr>
      </w:pPr>
    </w:p>
    <w:p w:rsidR="00C831F5" w:rsidRPr="00623182" w:rsidRDefault="00C831F5" w:rsidP="00F71E5F">
      <w:pPr>
        <w:spacing w:after="0" w:line="360" w:lineRule="auto"/>
        <w:jc w:val="both"/>
        <w:rPr>
          <w:rFonts w:ascii="Times New Roman" w:hAnsi="Times New Roman" w:cs="Times New Roman"/>
          <w:sz w:val="24"/>
          <w:szCs w:val="24"/>
        </w:rPr>
      </w:pPr>
      <w:r w:rsidRPr="00623182">
        <w:rPr>
          <w:rFonts w:ascii="Times New Roman" w:hAnsi="Times New Roman" w:cs="Times New Roman"/>
          <w:sz w:val="24"/>
          <w:szCs w:val="24"/>
        </w:rPr>
        <w:tab/>
        <w:t xml:space="preserve">KUDYA J: </w:t>
      </w:r>
      <w:r w:rsidR="00ED78DF" w:rsidRPr="00623182">
        <w:rPr>
          <w:rFonts w:ascii="Times New Roman" w:hAnsi="Times New Roman" w:cs="Times New Roman"/>
          <w:sz w:val="24"/>
          <w:szCs w:val="24"/>
        </w:rPr>
        <w:t xml:space="preserve">This is an appeal </w:t>
      </w:r>
      <w:r w:rsidR="0061458D" w:rsidRPr="00623182">
        <w:rPr>
          <w:rFonts w:ascii="Times New Roman" w:hAnsi="Times New Roman" w:cs="Times New Roman"/>
          <w:sz w:val="24"/>
          <w:szCs w:val="24"/>
        </w:rPr>
        <w:t>lodged in the Special Court for Income Tax Appeals</w:t>
      </w:r>
      <w:r w:rsidR="0061458D" w:rsidRPr="00623182">
        <w:rPr>
          <w:rStyle w:val="FootnoteReference"/>
          <w:rFonts w:ascii="Times New Roman" w:hAnsi="Times New Roman" w:cs="Times New Roman"/>
          <w:sz w:val="24"/>
          <w:szCs w:val="24"/>
        </w:rPr>
        <w:footnoteReference w:id="1"/>
      </w:r>
      <w:r w:rsidR="0061458D" w:rsidRPr="00623182">
        <w:rPr>
          <w:rFonts w:ascii="Times New Roman" w:hAnsi="Times New Roman" w:cs="Times New Roman"/>
          <w:sz w:val="24"/>
          <w:szCs w:val="24"/>
        </w:rPr>
        <w:t xml:space="preserve"> </w:t>
      </w:r>
      <w:r w:rsidR="00ED78DF" w:rsidRPr="00623182">
        <w:rPr>
          <w:rFonts w:ascii="Times New Roman" w:hAnsi="Times New Roman" w:cs="Times New Roman"/>
          <w:sz w:val="24"/>
          <w:szCs w:val="24"/>
        </w:rPr>
        <w:t xml:space="preserve">against the </w:t>
      </w:r>
      <w:r w:rsidR="00111B71" w:rsidRPr="00623182">
        <w:rPr>
          <w:rFonts w:ascii="Times New Roman" w:hAnsi="Times New Roman" w:cs="Times New Roman"/>
          <w:sz w:val="24"/>
          <w:szCs w:val="24"/>
        </w:rPr>
        <w:t xml:space="preserve">propriety of the </w:t>
      </w:r>
      <w:r w:rsidR="00ED78DF" w:rsidRPr="00623182">
        <w:rPr>
          <w:rFonts w:ascii="Times New Roman" w:hAnsi="Times New Roman" w:cs="Times New Roman"/>
          <w:sz w:val="24"/>
          <w:szCs w:val="24"/>
        </w:rPr>
        <w:t>disallowance of deductions made by the appellant in respect of tar</w:t>
      </w:r>
      <w:r w:rsidR="00F04C82" w:rsidRPr="00623182">
        <w:rPr>
          <w:rFonts w:ascii="Times New Roman" w:hAnsi="Times New Roman" w:cs="Times New Roman"/>
          <w:sz w:val="24"/>
          <w:szCs w:val="24"/>
        </w:rPr>
        <w:t>get bonus, leave bonus, gratuities</w:t>
      </w:r>
      <w:r w:rsidR="00ED78DF" w:rsidRPr="00623182">
        <w:rPr>
          <w:rFonts w:ascii="Times New Roman" w:hAnsi="Times New Roman" w:cs="Times New Roman"/>
          <w:sz w:val="24"/>
          <w:szCs w:val="24"/>
        </w:rPr>
        <w:t xml:space="preserve"> and leave pay for the tax years ended 31 December 2009 to 31 December 2012.</w:t>
      </w:r>
    </w:p>
    <w:p w:rsidR="0061458D" w:rsidRPr="00623182" w:rsidRDefault="0061458D" w:rsidP="00F71E5F">
      <w:pPr>
        <w:spacing w:after="0" w:line="360" w:lineRule="auto"/>
        <w:jc w:val="both"/>
        <w:rPr>
          <w:rFonts w:ascii="Times New Roman" w:hAnsi="Times New Roman" w:cs="Times New Roman"/>
          <w:sz w:val="24"/>
          <w:szCs w:val="24"/>
          <w:u w:val="single"/>
        </w:rPr>
      </w:pPr>
      <w:r w:rsidRPr="00623182">
        <w:rPr>
          <w:rFonts w:ascii="Times New Roman" w:hAnsi="Times New Roman" w:cs="Times New Roman"/>
          <w:sz w:val="24"/>
          <w:szCs w:val="24"/>
          <w:u w:val="single"/>
        </w:rPr>
        <w:t>The time line</w:t>
      </w:r>
      <w:r w:rsidR="00057A49" w:rsidRPr="00623182">
        <w:rPr>
          <w:rFonts w:ascii="Times New Roman" w:hAnsi="Times New Roman" w:cs="Times New Roman"/>
          <w:sz w:val="24"/>
          <w:szCs w:val="24"/>
          <w:u w:val="single"/>
        </w:rPr>
        <w:t>s</w:t>
      </w:r>
    </w:p>
    <w:p w:rsidR="00081AC7" w:rsidRPr="00623182" w:rsidRDefault="00165659" w:rsidP="00F71E5F">
      <w:pPr>
        <w:spacing w:after="0" w:line="360" w:lineRule="auto"/>
        <w:ind w:firstLine="720"/>
        <w:jc w:val="both"/>
        <w:rPr>
          <w:rFonts w:ascii="Times New Roman" w:hAnsi="Times New Roman" w:cs="Times New Roman"/>
          <w:sz w:val="24"/>
          <w:szCs w:val="24"/>
        </w:rPr>
      </w:pPr>
      <w:r w:rsidRPr="00623182">
        <w:rPr>
          <w:rFonts w:ascii="Times New Roman" w:hAnsi="Times New Roman" w:cs="Times New Roman"/>
          <w:sz w:val="24"/>
          <w:szCs w:val="24"/>
        </w:rPr>
        <w:t>The respondent commenced investigations</w:t>
      </w:r>
      <w:r w:rsidR="00E62DDD" w:rsidRPr="00623182">
        <w:rPr>
          <w:rFonts w:ascii="Times New Roman" w:hAnsi="Times New Roman" w:cs="Times New Roman"/>
          <w:sz w:val="24"/>
          <w:szCs w:val="24"/>
        </w:rPr>
        <w:t xml:space="preserve"> on </w:t>
      </w:r>
      <w:r w:rsidR="00057A49" w:rsidRPr="00623182">
        <w:rPr>
          <w:rFonts w:ascii="Times New Roman" w:hAnsi="Times New Roman" w:cs="Times New Roman"/>
          <w:sz w:val="24"/>
          <w:szCs w:val="24"/>
        </w:rPr>
        <w:t>the income</w:t>
      </w:r>
      <w:r w:rsidR="00E62DDD" w:rsidRPr="00623182">
        <w:rPr>
          <w:rFonts w:ascii="Times New Roman" w:hAnsi="Times New Roman" w:cs="Times New Roman"/>
          <w:sz w:val="24"/>
          <w:szCs w:val="24"/>
        </w:rPr>
        <w:t xml:space="preserve"> tax obligations of </w:t>
      </w:r>
      <w:r w:rsidR="00057A49" w:rsidRPr="00623182">
        <w:rPr>
          <w:rFonts w:ascii="Times New Roman" w:hAnsi="Times New Roman" w:cs="Times New Roman"/>
          <w:sz w:val="24"/>
          <w:szCs w:val="24"/>
        </w:rPr>
        <w:t xml:space="preserve">the </w:t>
      </w:r>
      <w:r w:rsidR="00E62DDD" w:rsidRPr="00623182">
        <w:rPr>
          <w:rFonts w:ascii="Times New Roman" w:hAnsi="Times New Roman" w:cs="Times New Roman"/>
          <w:sz w:val="24"/>
          <w:szCs w:val="24"/>
        </w:rPr>
        <w:t>appellant in</w:t>
      </w:r>
      <w:r w:rsidR="00001040" w:rsidRPr="00623182">
        <w:rPr>
          <w:rFonts w:ascii="Times New Roman" w:hAnsi="Times New Roman" w:cs="Times New Roman"/>
          <w:sz w:val="24"/>
          <w:szCs w:val="24"/>
        </w:rPr>
        <w:t xml:space="preserve"> September</w:t>
      </w:r>
      <w:r w:rsidR="00E62DDD" w:rsidRPr="00623182">
        <w:rPr>
          <w:rFonts w:ascii="Times New Roman" w:hAnsi="Times New Roman" w:cs="Times New Roman"/>
          <w:sz w:val="24"/>
          <w:szCs w:val="24"/>
        </w:rPr>
        <w:t xml:space="preserve"> 2013</w:t>
      </w:r>
      <w:r w:rsidR="002B5466" w:rsidRPr="00623182">
        <w:rPr>
          <w:rFonts w:ascii="Times New Roman" w:hAnsi="Times New Roman" w:cs="Times New Roman"/>
          <w:sz w:val="24"/>
          <w:szCs w:val="24"/>
        </w:rPr>
        <w:t xml:space="preserve"> for the tax years 2009 to 2012</w:t>
      </w:r>
      <w:r w:rsidR="00E62DDD" w:rsidRPr="00623182">
        <w:rPr>
          <w:rFonts w:ascii="Times New Roman" w:hAnsi="Times New Roman" w:cs="Times New Roman"/>
          <w:sz w:val="24"/>
          <w:szCs w:val="24"/>
        </w:rPr>
        <w:t xml:space="preserve">. </w:t>
      </w:r>
      <w:r w:rsidR="002B5466" w:rsidRPr="00623182">
        <w:rPr>
          <w:rFonts w:ascii="Times New Roman" w:hAnsi="Times New Roman" w:cs="Times New Roman"/>
          <w:sz w:val="24"/>
          <w:szCs w:val="24"/>
        </w:rPr>
        <w:t>The</w:t>
      </w:r>
      <w:r w:rsidR="00001040" w:rsidRPr="00623182">
        <w:rPr>
          <w:rFonts w:ascii="Times New Roman" w:hAnsi="Times New Roman" w:cs="Times New Roman"/>
          <w:sz w:val="24"/>
          <w:szCs w:val="24"/>
        </w:rPr>
        <w:t xml:space="preserve"> investigation revealed that the</w:t>
      </w:r>
      <w:r w:rsidR="00F81CAB" w:rsidRPr="00623182">
        <w:rPr>
          <w:rFonts w:ascii="Times New Roman" w:hAnsi="Times New Roman" w:cs="Times New Roman"/>
          <w:sz w:val="24"/>
          <w:szCs w:val="24"/>
        </w:rPr>
        <w:t xml:space="preserve"> salaries and wages recorded in the appellant’s financial statements were higher than the figures in the ITF 16 returns that were submitted to the respondent by the appellant in each of these tax years.  It was common ground that the variances were occasioned by the different treatment that the appellant accorded to target bonuses, leave bonuses, gratuities and leave pay for accounting purposes and tax purposes</w:t>
      </w:r>
      <w:r w:rsidR="00797B14" w:rsidRPr="00623182">
        <w:rPr>
          <w:rFonts w:ascii="Times New Roman" w:hAnsi="Times New Roman" w:cs="Times New Roman"/>
          <w:sz w:val="24"/>
          <w:szCs w:val="24"/>
        </w:rPr>
        <w:t>, respectively</w:t>
      </w:r>
      <w:r w:rsidR="00F81CAB" w:rsidRPr="00623182">
        <w:rPr>
          <w:rFonts w:ascii="Times New Roman" w:hAnsi="Times New Roman" w:cs="Times New Roman"/>
          <w:sz w:val="24"/>
          <w:szCs w:val="24"/>
        </w:rPr>
        <w:t>.  The investigation culminated in the issuance of income tax amended assessments</w:t>
      </w:r>
      <w:r w:rsidR="00144D6D" w:rsidRPr="00623182">
        <w:rPr>
          <w:rFonts w:ascii="Times New Roman" w:hAnsi="Times New Roman" w:cs="Times New Roman"/>
          <w:sz w:val="24"/>
          <w:szCs w:val="24"/>
        </w:rPr>
        <w:t xml:space="preserve"> number 2/001320 for the 2009 tax year, </w:t>
      </w:r>
      <w:r w:rsidR="00F81CAB" w:rsidRPr="00623182">
        <w:rPr>
          <w:rFonts w:ascii="Times New Roman" w:hAnsi="Times New Roman" w:cs="Times New Roman"/>
          <w:sz w:val="24"/>
          <w:szCs w:val="24"/>
        </w:rPr>
        <w:t xml:space="preserve"> </w:t>
      </w:r>
      <w:r w:rsidR="00144D6D" w:rsidRPr="00623182">
        <w:rPr>
          <w:rFonts w:ascii="Times New Roman" w:hAnsi="Times New Roman" w:cs="Times New Roman"/>
          <w:sz w:val="24"/>
          <w:szCs w:val="24"/>
        </w:rPr>
        <w:t>2/001321 for the 2010 tax year, 2/001322 for the 2011 tax year and 2/00</w:t>
      </w:r>
      <w:r w:rsidR="00BB6C34" w:rsidRPr="00623182">
        <w:rPr>
          <w:rFonts w:ascii="Times New Roman" w:hAnsi="Times New Roman" w:cs="Times New Roman"/>
          <w:sz w:val="24"/>
          <w:szCs w:val="24"/>
        </w:rPr>
        <w:t>1323 for the 2012 tax year on 23</w:t>
      </w:r>
      <w:r w:rsidR="00144D6D" w:rsidRPr="00623182">
        <w:rPr>
          <w:rFonts w:ascii="Times New Roman" w:hAnsi="Times New Roman" w:cs="Times New Roman"/>
          <w:sz w:val="24"/>
          <w:szCs w:val="24"/>
        </w:rPr>
        <w:t xml:space="preserve"> October 2014.</w:t>
      </w:r>
      <w:r w:rsidR="00E767DD" w:rsidRPr="00623182">
        <w:rPr>
          <w:rFonts w:ascii="Times New Roman" w:hAnsi="Times New Roman" w:cs="Times New Roman"/>
          <w:sz w:val="24"/>
          <w:szCs w:val="24"/>
        </w:rPr>
        <w:t xml:space="preserve"> </w:t>
      </w:r>
    </w:p>
    <w:p w:rsidR="0021572E" w:rsidRPr="00623182" w:rsidRDefault="00081AC7" w:rsidP="00F71E5F">
      <w:pPr>
        <w:spacing w:after="0" w:line="360" w:lineRule="auto"/>
        <w:ind w:firstLine="720"/>
        <w:jc w:val="both"/>
        <w:rPr>
          <w:rFonts w:ascii="Times New Roman" w:hAnsi="Times New Roman" w:cs="Times New Roman"/>
          <w:sz w:val="24"/>
          <w:szCs w:val="24"/>
        </w:rPr>
      </w:pPr>
      <w:r w:rsidRPr="00623182">
        <w:rPr>
          <w:rFonts w:ascii="Times New Roman" w:hAnsi="Times New Roman" w:cs="Times New Roman"/>
          <w:sz w:val="24"/>
          <w:szCs w:val="24"/>
        </w:rPr>
        <w:t>On 5 November 2014, the appellant objected to the amended assessments in question. The appellant further accorded the respondent extensions of time</w:t>
      </w:r>
      <w:r w:rsidR="004B02B5" w:rsidRPr="00623182">
        <w:rPr>
          <w:rFonts w:ascii="Times New Roman" w:hAnsi="Times New Roman" w:cs="Times New Roman"/>
          <w:sz w:val="24"/>
          <w:szCs w:val="24"/>
        </w:rPr>
        <w:t xml:space="preserve"> in excess of the three months </w:t>
      </w:r>
      <w:r w:rsidR="004B02B5" w:rsidRPr="00623182">
        <w:rPr>
          <w:rFonts w:ascii="Times New Roman" w:hAnsi="Times New Roman" w:cs="Times New Roman"/>
          <w:sz w:val="24"/>
          <w:szCs w:val="24"/>
        </w:rPr>
        <w:lastRenderedPageBreak/>
        <w:t>provided in s 62 (4) of the Income Tax Act [</w:t>
      </w:r>
      <w:r w:rsidR="004B02B5" w:rsidRPr="00623182">
        <w:rPr>
          <w:rFonts w:ascii="Times New Roman" w:hAnsi="Times New Roman" w:cs="Times New Roman"/>
          <w:i/>
          <w:sz w:val="24"/>
          <w:szCs w:val="24"/>
        </w:rPr>
        <w:t>Chapter 23:06</w:t>
      </w:r>
      <w:r w:rsidR="004B02B5" w:rsidRPr="00623182">
        <w:rPr>
          <w:rFonts w:ascii="Times New Roman" w:hAnsi="Times New Roman" w:cs="Times New Roman"/>
          <w:sz w:val="24"/>
          <w:szCs w:val="24"/>
        </w:rPr>
        <w:t>]</w:t>
      </w:r>
      <w:r w:rsidRPr="00623182">
        <w:rPr>
          <w:rFonts w:ascii="Times New Roman" w:hAnsi="Times New Roman" w:cs="Times New Roman"/>
          <w:sz w:val="24"/>
          <w:szCs w:val="24"/>
        </w:rPr>
        <w:t xml:space="preserve"> within which to determine the objection</w:t>
      </w:r>
      <w:r w:rsidR="00BA6B20" w:rsidRPr="00623182">
        <w:rPr>
          <w:rStyle w:val="FootnoteReference"/>
          <w:rFonts w:ascii="Times New Roman" w:hAnsi="Times New Roman" w:cs="Times New Roman"/>
          <w:sz w:val="24"/>
          <w:szCs w:val="24"/>
        </w:rPr>
        <w:footnoteReference w:id="2"/>
      </w:r>
      <w:r w:rsidRPr="00623182">
        <w:rPr>
          <w:rFonts w:ascii="Times New Roman" w:hAnsi="Times New Roman" w:cs="Times New Roman"/>
          <w:sz w:val="24"/>
          <w:szCs w:val="24"/>
        </w:rPr>
        <w:t xml:space="preserve">. The determination was </w:t>
      </w:r>
      <w:r w:rsidR="004B02B5" w:rsidRPr="00623182">
        <w:rPr>
          <w:rFonts w:ascii="Times New Roman" w:hAnsi="Times New Roman" w:cs="Times New Roman"/>
          <w:sz w:val="24"/>
          <w:szCs w:val="24"/>
        </w:rPr>
        <w:t xml:space="preserve">eventually </w:t>
      </w:r>
      <w:r w:rsidRPr="00623182">
        <w:rPr>
          <w:rFonts w:ascii="Times New Roman" w:hAnsi="Times New Roman" w:cs="Times New Roman"/>
          <w:sz w:val="24"/>
          <w:szCs w:val="24"/>
        </w:rPr>
        <w:t xml:space="preserve">made on </w:t>
      </w:r>
      <w:r w:rsidR="004B02B5" w:rsidRPr="00623182">
        <w:rPr>
          <w:rFonts w:ascii="Times New Roman" w:hAnsi="Times New Roman" w:cs="Times New Roman"/>
          <w:sz w:val="24"/>
          <w:szCs w:val="24"/>
        </w:rPr>
        <w:t>1 August 2016. The appellant filed its</w:t>
      </w:r>
      <w:r w:rsidR="008F29C4" w:rsidRPr="00623182">
        <w:rPr>
          <w:rFonts w:ascii="Times New Roman" w:hAnsi="Times New Roman" w:cs="Times New Roman"/>
          <w:sz w:val="24"/>
          <w:szCs w:val="24"/>
        </w:rPr>
        <w:t xml:space="preserve"> notice of appeal on 15 August</w:t>
      </w:r>
      <w:r w:rsidR="004B02B5" w:rsidRPr="00623182">
        <w:rPr>
          <w:rFonts w:ascii="Times New Roman" w:hAnsi="Times New Roman" w:cs="Times New Roman"/>
          <w:sz w:val="24"/>
          <w:szCs w:val="24"/>
        </w:rPr>
        <w:t xml:space="preserve"> 2016 and its case on 10 October 2016. </w:t>
      </w:r>
      <w:r w:rsidR="008F29C4" w:rsidRPr="00623182">
        <w:rPr>
          <w:rFonts w:ascii="Times New Roman" w:hAnsi="Times New Roman" w:cs="Times New Roman"/>
          <w:sz w:val="24"/>
          <w:szCs w:val="24"/>
        </w:rPr>
        <w:t>In response, the respondent</w:t>
      </w:r>
      <w:r w:rsidR="004B02B5" w:rsidRPr="00623182">
        <w:rPr>
          <w:rFonts w:ascii="Times New Roman" w:hAnsi="Times New Roman" w:cs="Times New Roman"/>
          <w:sz w:val="24"/>
          <w:szCs w:val="24"/>
        </w:rPr>
        <w:t xml:space="preserve"> filed </w:t>
      </w:r>
      <w:r w:rsidR="008F29C4" w:rsidRPr="00623182">
        <w:rPr>
          <w:rFonts w:ascii="Times New Roman" w:hAnsi="Times New Roman" w:cs="Times New Roman"/>
          <w:sz w:val="24"/>
          <w:szCs w:val="24"/>
        </w:rPr>
        <w:t xml:space="preserve">its case on </w:t>
      </w:r>
      <w:r w:rsidR="004B02B5" w:rsidRPr="00623182">
        <w:rPr>
          <w:rFonts w:ascii="Times New Roman" w:hAnsi="Times New Roman" w:cs="Times New Roman"/>
          <w:sz w:val="24"/>
          <w:szCs w:val="24"/>
        </w:rPr>
        <w:t xml:space="preserve">12 December 2016. </w:t>
      </w:r>
      <w:r w:rsidR="0021572E" w:rsidRPr="00623182">
        <w:rPr>
          <w:rFonts w:ascii="Times New Roman" w:hAnsi="Times New Roman" w:cs="Times New Roman"/>
          <w:sz w:val="24"/>
          <w:szCs w:val="24"/>
        </w:rPr>
        <w:t xml:space="preserve"> </w:t>
      </w:r>
    </w:p>
    <w:p w:rsidR="004873E4" w:rsidRPr="00623182" w:rsidRDefault="004873E4" w:rsidP="00623182">
      <w:pPr>
        <w:spacing w:line="360" w:lineRule="auto"/>
        <w:jc w:val="both"/>
        <w:rPr>
          <w:rFonts w:ascii="Times New Roman" w:hAnsi="Times New Roman" w:cs="Times New Roman"/>
          <w:sz w:val="24"/>
          <w:szCs w:val="24"/>
          <w:u w:val="single"/>
        </w:rPr>
      </w:pPr>
      <w:r w:rsidRPr="00623182">
        <w:rPr>
          <w:rFonts w:ascii="Times New Roman" w:hAnsi="Times New Roman" w:cs="Times New Roman"/>
          <w:sz w:val="24"/>
          <w:szCs w:val="24"/>
          <w:u w:val="single"/>
        </w:rPr>
        <w:t>The facts</w:t>
      </w:r>
    </w:p>
    <w:p w:rsidR="00D77851" w:rsidRPr="00623182" w:rsidRDefault="004873E4" w:rsidP="00F71E5F">
      <w:pPr>
        <w:spacing w:after="0" w:line="360" w:lineRule="auto"/>
        <w:ind w:firstLine="720"/>
        <w:jc w:val="both"/>
        <w:rPr>
          <w:rFonts w:ascii="Times New Roman" w:hAnsi="Times New Roman" w:cs="Times New Roman"/>
          <w:sz w:val="24"/>
          <w:szCs w:val="24"/>
        </w:rPr>
      </w:pPr>
      <w:r w:rsidRPr="00623182">
        <w:rPr>
          <w:rFonts w:ascii="Times New Roman" w:hAnsi="Times New Roman" w:cs="Times New Roman"/>
          <w:sz w:val="24"/>
          <w:szCs w:val="24"/>
        </w:rPr>
        <w:t xml:space="preserve">The appellant company </w:t>
      </w:r>
      <w:r w:rsidR="004037B1" w:rsidRPr="00623182">
        <w:rPr>
          <w:rFonts w:ascii="Times New Roman" w:hAnsi="Times New Roman" w:cs="Times New Roman"/>
          <w:sz w:val="24"/>
          <w:szCs w:val="24"/>
        </w:rPr>
        <w:t xml:space="preserve">was incorporated in 2002 and </w:t>
      </w:r>
      <w:r w:rsidR="0082540C" w:rsidRPr="00623182">
        <w:rPr>
          <w:rFonts w:ascii="Times New Roman" w:hAnsi="Times New Roman" w:cs="Times New Roman"/>
          <w:sz w:val="24"/>
          <w:szCs w:val="24"/>
        </w:rPr>
        <w:t>operates in the mining industry</w:t>
      </w:r>
      <w:r w:rsidR="004037B1" w:rsidRPr="00623182">
        <w:rPr>
          <w:rFonts w:ascii="Times New Roman" w:hAnsi="Times New Roman" w:cs="Times New Roman"/>
          <w:sz w:val="24"/>
          <w:szCs w:val="24"/>
        </w:rPr>
        <w:t xml:space="preserve">. </w:t>
      </w:r>
      <w:r w:rsidR="00EC175F" w:rsidRPr="00623182">
        <w:rPr>
          <w:rFonts w:ascii="Times New Roman" w:hAnsi="Times New Roman" w:cs="Times New Roman"/>
          <w:sz w:val="24"/>
          <w:szCs w:val="24"/>
        </w:rPr>
        <w:t>It employed</w:t>
      </w:r>
      <w:r w:rsidR="0082540C" w:rsidRPr="00623182">
        <w:rPr>
          <w:rFonts w:ascii="Times New Roman" w:hAnsi="Times New Roman" w:cs="Times New Roman"/>
          <w:sz w:val="24"/>
          <w:szCs w:val="24"/>
        </w:rPr>
        <w:t xml:space="preserve"> both contract and permanent workers the majority of whom </w:t>
      </w:r>
      <w:r w:rsidR="00EC175F" w:rsidRPr="00623182">
        <w:rPr>
          <w:rFonts w:ascii="Times New Roman" w:hAnsi="Times New Roman" w:cs="Times New Roman"/>
          <w:sz w:val="24"/>
          <w:szCs w:val="24"/>
        </w:rPr>
        <w:t>we</w:t>
      </w:r>
      <w:r w:rsidR="0082540C" w:rsidRPr="00623182">
        <w:rPr>
          <w:rFonts w:ascii="Times New Roman" w:hAnsi="Times New Roman" w:cs="Times New Roman"/>
          <w:sz w:val="24"/>
          <w:szCs w:val="24"/>
        </w:rPr>
        <w:t>re contracted to two established mining companies that ar</w:t>
      </w:r>
      <w:r w:rsidR="00CC5AE3" w:rsidRPr="00623182">
        <w:rPr>
          <w:rFonts w:ascii="Times New Roman" w:hAnsi="Times New Roman" w:cs="Times New Roman"/>
          <w:sz w:val="24"/>
          <w:szCs w:val="24"/>
        </w:rPr>
        <w:t>e based in the Midlands</w:t>
      </w:r>
      <w:r w:rsidR="0082540C" w:rsidRPr="00623182">
        <w:rPr>
          <w:rFonts w:ascii="Times New Roman" w:hAnsi="Times New Roman" w:cs="Times New Roman"/>
          <w:sz w:val="24"/>
          <w:szCs w:val="24"/>
        </w:rPr>
        <w:t xml:space="preserve"> </w:t>
      </w:r>
      <w:r w:rsidR="00CC5AE3" w:rsidRPr="00623182">
        <w:rPr>
          <w:rFonts w:ascii="Times New Roman" w:hAnsi="Times New Roman" w:cs="Times New Roman"/>
          <w:sz w:val="24"/>
          <w:szCs w:val="24"/>
        </w:rPr>
        <w:t xml:space="preserve">and Mashonaland West Provinces </w:t>
      </w:r>
      <w:r w:rsidR="0082540C" w:rsidRPr="00623182">
        <w:rPr>
          <w:rFonts w:ascii="Times New Roman" w:hAnsi="Times New Roman" w:cs="Times New Roman"/>
          <w:sz w:val="24"/>
          <w:szCs w:val="24"/>
        </w:rPr>
        <w:t>of Zimbabwe. The appellant undertakes service repairs and maintenance of mining equipment, plant and mach</w:t>
      </w:r>
      <w:r w:rsidR="004037B1" w:rsidRPr="00623182">
        <w:rPr>
          <w:rFonts w:ascii="Times New Roman" w:hAnsi="Times New Roman" w:cs="Times New Roman"/>
          <w:sz w:val="24"/>
          <w:szCs w:val="24"/>
        </w:rPr>
        <w:t>inery and also supplies</w:t>
      </w:r>
      <w:r w:rsidR="0082540C" w:rsidRPr="00623182">
        <w:rPr>
          <w:rFonts w:ascii="Times New Roman" w:hAnsi="Times New Roman" w:cs="Times New Roman"/>
          <w:sz w:val="24"/>
          <w:szCs w:val="24"/>
        </w:rPr>
        <w:t xml:space="preserve"> both </w:t>
      </w:r>
      <w:r w:rsidR="003A0229" w:rsidRPr="00623182">
        <w:rPr>
          <w:rFonts w:ascii="Times New Roman" w:hAnsi="Times New Roman" w:cs="Times New Roman"/>
          <w:sz w:val="24"/>
          <w:szCs w:val="24"/>
        </w:rPr>
        <w:t xml:space="preserve">surface and underground </w:t>
      </w:r>
      <w:r w:rsidR="0082540C" w:rsidRPr="00623182">
        <w:rPr>
          <w:rFonts w:ascii="Times New Roman" w:hAnsi="Times New Roman" w:cs="Times New Roman"/>
          <w:sz w:val="24"/>
          <w:szCs w:val="24"/>
        </w:rPr>
        <w:t>p</w:t>
      </w:r>
      <w:r w:rsidR="004037B1" w:rsidRPr="00623182">
        <w:rPr>
          <w:rFonts w:ascii="Times New Roman" w:hAnsi="Times New Roman" w:cs="Times New Roman"/>
          <w:sz w:val="24"/>
          <w:szCs w:val="24"/>
        </w:rPr>
        <w:t>ersonnel and equipment to these</w:t>
      </w:r>
      <w:r w:rsidR="0082540C" w:rsidRPr="00623182">
        <w:rPr>
          <w:rFonts w:ascii="Times New Roman" w:hAnsi="Times New Roman" w:cs="Times New Roman"/>
          <w:sz w:val="24"/>
          <w:szCs w:val="24"/>
        </w:rPr>
        <w:t xml:space="preserve"> mining companies. </w:t>
      </w:r>
      <w:r w:rsidR="00E92F6B" w:rsidRPr="00623182">
        <w:rPr>
          <w:rFonts w:ascii="Times New Roman" w:hAnsi="Times New Roman" w:cs="Times New Roman"/>
          <w:sz w:val="24"/>
          <w:szCs w:val="24"/>
        </w:rPr>
        <w:t>It</w:t>
      </w:r>
      <w:r w:rsidR="004037B1" w:rsidRPr="00623182">
        <w:rPr>
          <w:rFonts w:ascii="Times New Roman" w:hAnsi="Times New Roman" w:cs="Times New Roman"/>
          <w:sz w:val="24"/>
          <w:szCs w:val="24"/>
        </w:rPr>
        <w:t>s</w:t>
      </w:r>
      <w:r w:rsidR="00E92F6B" w:rsidRPr="00623182">
        <w:rPr>
          <w:rFonts w:ascii="Times New Roman" w:hAnsi="Times New Roman" w:cs="Times New Roman"/>
          <w:sz w:val="24"/>
          <w:szCs w:val="24"/>
        </w:rPr>
        <w:t xml:space="preserve"> operations we</w:t>
      </w:r>
      <w:r w:rsidR="003A0229" w:rsidRPr="00623182">
        <w:rPr>
          <w:rFonts w:ascii="Times New Roman" w:hAnsi="Times New Roman" w:cs="Times New Roman"/>
          <w:sz w:val="24"/>
          <w:szCs w:val="24"/>
        </w:rPr>
        <w:t xml:space="preserve">re </w:t>
      </w:r>
      <w:r w:rsidR="00D77851" w:rsidRPr="00623182">
        <w:rPr>
          <w:rFonts w:ascii="Times New Roman" w:hAnsi="Times New Roman" w:cs="Times New Roman"/>
          <w:sz w:val="24"/>
          <w:szCs w:val="24"/>
        </w:rPr>
        <w:t xml:space="preserve">governed by the </w:t>
      </w:r>
      <w:r w:rsidR="00DC3F4D" w:rsidRPr="00623182">
        <w:rPr>
          <w:rFonts w:ascii="Times New Roman" w:hAnsi="Times New Roman" w:cs="Times New Roman"/>
          <w:sz w:val="24"/>
          <w:szCs w:val="24"/>
        </w:rPr>
        <w:t xml:space="preserve">provisions of the </w:t>
      </w:r>
      <w:r w:rsidR="00D77851" w:rsidRPr="00623182">
        <w:rPr>
          <w:rFonts w:ascii="Times New Roman" w:hAnsi="Times New Roman" w:cs="Times New Roman"/>
          <w:sz w:val="24"/>
          <w:szCs w:val="24"/>
        </w:rPr>
        <w:t xml:space="preserve">Collective </w:t>
      </w:r>
      <w:r w:rsidR="009217C4" w:rsidRPr="00623182">
        <w:rPr>
          <w:rFonts w:ascii="Times New Roman" w:hAnsi="Times New Roman" w:cs="Times New Roman"/>
          <w:sz w:val="24"/>
          <w:szCs w:val="24"/>
        </w:rPr>
        <w:t>Bargaining Agreement</w:t>
      </w:r>
      <w:r w:rsidR="00DB73AF" w:rsidRPr="00623182">
        <w:rPr>
          <w:rFonts w:ascii="Times New Roman" w:hAnsi="Times New Roman" w:cs="Times New Roman"/>
          <w:sz w:val="24"/>
          <w:szCs w:val="24"/>
        </w:rPr>
        <w:t>, CBA,</w:t>
      </w:r>
      <w:r w:rsidR="009217C4" w:rsidRPr="00623182">
        <w:rPr>
          <w:rFonts w:ascii="Times New Roman" w:hAnsi="Times New Roman" w:cs="Times New Roman"/>
          <w:sz w:val="24"/>
          <w:szCs w:val="24"/>
        </w:rPr>
        <w:t xml:space="preserve"> (Mining Industry) General Regulations SI 152/1990 as amended by the </w:t>
      </w:r>
      <w:r w:rsidR="00D77851" w:rsidRPr="00623182">
        <w:rPr>
          <w:rFonts w:ascii="Times New Roman" w:hAnsi="Times New Roman" w:cs="Times New Roman"/>
          <w:sz w:val="24"/>
          <w:szCs w:val="24"/>
        </w:rPr>
        <w:t>C</w:t>
      </w:r>
      <w:r w:rsidR="009217C4" w:rsidRPr="00623182">
        <w:rPr>
          <w:rFonts w:ascii="Times New Roman" w:hAnsi="Times New Roman" w:cs="Times New Roman"/>
          <w:sz w:val="24"/>
          <w:szCs w:val="24"/>
        </w:rPr>
        <w:t>ollective Bargaining Agreement (Mining Industry</w:t>
      </w:r>
      <w:r w:rsidR="0082540C" w:rsidRPr="00623182">
        <w:rPr>
          <w:rFonts w:ascii="Times New Roman" w:hAnsi="Times New Roman" w:cs="Times New Roman"/>
          <w:sz w:val="24"/>
          <w:szCs w:val="24"/>
        </w:rPr>
        <w:t>) SI</w:t>
      </w:r>
      <w:r w:rsidR="009217C4" w:rsidRPr="00623182">
        <w:rPr>
          <w:rFonts w:ascii="Times New Roman" w:hAnsi="Times New Roman" w:cs="Times New Roman"/>
          <w:sz w:val="24"/>
          <w:szCs w:val="24"/>
        </w:rPr>
        <w:t xml:space="preserve"> 109 of 1993</w:t>
      </w:r>
      <w:r w:rsidR="0082540C" w:rsidRPr="00623182">
        <w:rPr>
          <w:rFonts w:ascii="Times New Roman" w:hAnsi="Times New Roman" w:cs="Times New Roman"/>
          <w:sz w:val="24"/>
          <w:szCs w:val="24"/>
        </w:rPr>
        <w:t xml:space="preserve">. </w:t>
      </w:r>
      <w:r w:rsidR="00DB73AF" w:rsidRPr="00623182">
        <w:rPr>
          <w:rFonts w:ascii="Times New Roman" w:hAnsi="Times New Roman" w:cs="Times New Roman"/>
          <w:sz w:val="24"/>
          <w:szCs w:val="24"/>
        </w:rPr>
        <w:t xml:space="preserve">In terms of s 2 (1) the CBA was binding on all employers and employees in the industry. </w:t>
      </w:r>
      <w:r w:rsidR="00E92F6B" w:rsidRPr="00623182">
        <w:rPr>
          <w:rFonts w:ascii="Times New Roman" w:hAnsi="Times New Roman" w:cs="Times New Roman"/>
          <w:sz w:val="24"/>
          <w:szCs w:val="24"/>
        </w:rPr>
        <w:t xml:space="preserve">The conditions of service of its employees were governed by these two statutory instruments and the respective contracts concluded with each employee. </w:t>
      </w:r>
      <w:r w:rsidR="00EB658C" w:rsidRPr="00623182">
        <w:rPr>
          <w:rFonts w:ascii="Times New Roman" w:hAnsi="Times New Roman" w:cs="Times New Roman"/>
          <w:sz w:val="24"/>
          <w:szCs w:val="24"/>
        </w:rPr>
        <w:t xml:space="preserve"> </w:t>
      </w:r>
    </w:p>
    <w:p w:rsidR="00E92F6B" w:rsidRPr="00623182" w:rsidRDefault="00E92F6B" w:rsidP="00F71E5F">
      <w:pPr>
        <w:spacing w:after="0" w:line="360" w:lineRule="auto"/>
        <w:ind w:firstLine="720"/>
        <w:jc w:val="both"/>
        <w:rPr>
          <w:rFonts w:ascii="Times New Roman" w:hAnsi="Times New Roman" w:cs="Times New Roman"/>
          <w:sz w:val="24"/>
          <w:szCs w:val="24"/>
        </w:rPr>
      </w:pPr>
      <w:r w:rsidRPr="00623182">
        <w:rPr>
          <w:rFonts w:ascii="Times New Roman" w:hAnsi="Times New Roman" w:cs="Times New Roman"/>
          <w:sz w:val="24"/>
          <w:szCs w:val="24"/>
        </w:rPr>
        <w:t xml:space="preserve">The conditions of service covered, amongst others, target and leave bonuses, gratuities and leave pay. </w:t>
      </w:r>
      <w:r w:rsidR="008D45CD" w:rsidRPr="00623182">
        <w:rPr>
          <w:rFonts w:ascii="Times New Roman" w:hAnsi="Times New Roman" w:cs="Times New Roman"/>
          <w:sz w:val="24"/>
          <w:szCs w:val="24"/>
        </w:rPr>
        <w:t>The leave bonus was synonymous with a 13</w:t>
      </w:r>
      <w:r w:rsidR="008D45CD" w:rsidRPr="00623182">
        <w:rPr>
          <w:rFonts w:ascii="Times New Roman" w:hAnsi="Times New Roman" w:cs="Times New Roman"/>
          <w:sz w:val="24"/>
          <w:szCs w:val="24"/>
          <w:vertAlign w:val="superscript"/>
        </w:rPr>
        <w:t>th</w:t>
      </w:r>
      <w:r w:rsidR="008D45CD" w:rsidRPr="00623182">
        <w:rPr>
          <w:rFonts w:ascii="Times New Roman" w:hAnsi="Times New Roman" w:cs="Times New Roman"/>
          <w:sz w:val="24"/>
          <w:szCs w:val="24"/>
        </w:rPr>
        <w:t xml:space="preserve"> cheque while target bonuses were incentive bonuses that accrued to each employe</w:t>
      </w:r>
      <w:r w:rsidR="00113A7D" w:rsidRPr="00623182">
        <w:rPr>
          <w:rFonts w:ascii="Times New Roman" w:hAnsi="Times New Roman" w:cs="Times New Roman"/>
          <w:sz w:val="24"/>
          <w:szCs w:val="24"/>
        </w:rPr>
        <w:t>e on meeting either individual or collective</w:t>
      </w:r>
      <w:r w:rsidR="008D45CD" w:rsidRPr="00623182">
        <w:rPr>
          <w:rFonts w:ascii="Times New Roman" w:hAnsi="Times New Roman" w:cs="Times New Roman"/>
          <w:sz w:val="24"/>
          <w:szCs w:val="24"/>
        </w:rPr>
        <w:t xml:space="preserve"> production targets set by management. </w:t>
      </w:r>
      <w:r w:rsidR="000602C0" w:rsidRPr="00623182">
        <w:rPr>
          <w:rFonts w:ascii="Times New Roman" w:hAnsi="Times New Roman" w:cs="Times New Roman"/>
          <w:sz w:val="24"/>
          <w:szCs w:val="24"/>
        </w:rPr>
        <w:t xml:space="preserve">Gratuities were statutory decreed payments that accrued to each </w:t>
      </w:r>
      <w:r w:rsidR="00026ECE" w:rsidRPr="00623182">
        <w:rPr>
          <w:rFonts w:ascii="Times New Roman" w:hAnsi="Times New Roman" w:cs="Times New Roman"/>
          <w:sz w:val="24"/>
          <w:szCs w:val="24"/>
        </w:rPr>
        <w:t xml:space="preserve">contract </w:t>
      </w:r>
      <w:r w:rsidR="000602C0" w:rsidRPr="00623182">
        <w:rPr>
          <w:rFonts w:ascii="Times New Roman" w:hAnsi="Times New Roman" w:cs="Times New Roman"/>
          <w:sz w:val="24"/>
          <w:szCs w:val="24"/>
        </w:rPr>
        <w:t xml:space="preserve">employee </w:t>
      </w:r>
      <w:r w:rsidR="00026ECE" w:rsidRPr="00623182">
        <w:rPr>
          <w:rFonts w:ascii="Times New Roman" w:hAnsi="Times New Roman" w:cs="Times New Roman"/>
          <w:sz w:val="24"/>
          <w:szCs w:val="24"/>
        </w:rPr>
        <w:t xml:space="preserve">during the </w:t>
      </w:r>
      <w:r w:rsidR="00F1339F">
        <w:rPr>
          <w:rFonts w:ascii="Times New Roman" w:hAnsi="Times New Roman" w:cs="Times New Roman"/>
          <w:sz w:val="24"/>
          <w:szCs w:val="24"/>
        </w:rPr>
        <w:t>life of his</w:t>
      </w:r>
      <w:r w:rsidR="00026ECE" w:rsidRPr="00623182">
        <w:rPr>
          <w:rFonts w:ascii="Times New Roman" w:hAnsi="Times New Roman" w:cs="Times New Roman"/>
          <w:sz w:val="24"/>
          <w:szCs w:val="24"/>
        </w:rPr>
        <w:t xml:space="preserve"> contract but which were p</w:t>
      </w:r>
      <w:r w:rsidR="00F1339F">
        <w:rPr>
          <w:rFonts w:ascii="Times New Roman" w:hAnsi="Times New Roman" w:cs="Times New Roman"/>
          <w:sz w:val="24"/>
          <w:szCs w:val="24"/>
        </w:rPr>
        <w:t>ayable on the termination of that</w:t>
      </w:r>
      <w:r w:rsidR="000602C0" w:rsidRPr="00623182">
        <w:rPr>
          <w:rFonts w:ascii="Times New Roman" w:hAnsi="Times New Roman" w:cs="Times New Roman"/>
          <w:sz w:val="24"/>
          <w:szCs w:val="24"/>
        </w:rPr>
        <w:t xml:space="preserve"> employment contract. Leave pay was the amount that was payable to an employee on accumulating the number of days per annum prescribed in the contract of employment and underpinned by the collective bargaining agreements. </w:t>
      </w:r>
    </w:p>
    <w:p w:rsidR="0082540C" w:rsidRPr="00623182" w:rsidRDefault="007C3211" w:rsidP="00F71E5F">
      <w:pPr>
        <w:spacing w:after="0" w:line="360" w:lineRule="auto"/>
        <w:ind w:firstLine="720"/>
        <w:jc w:val="both"/>
        <w:rPr>
          <w:rFonts w:ascii="Times New Roman" w:hAnsi="Times New Roman" w:cs="Times New Roman"/>
          <w:sz w:val="24"/>
          <w:szCs w:val="24"/>
        </w:rPr>
      </w:pPr>
      <w:r w:rsidRPr="00623182">
        <w:rPr>
          <w:rFonts w:ascii="Times New Roman" w:hAnsi="Times New Roman" w:cs="Times New Roman"/>
          <w:sz w:val="24"/>
          <w:szCs w:val="24"/>
        </w:rPr>
        <w:t xml:space="preserve">In each of the four tax years in question, the appellant deducted the amounts relating to each of these four heads as expenses incurred in the course of trade or the production of income under the general deduction formula, s 15 (2) (a) of the Income Tax Act. </w:t>
      </w:r>
      <w:r w:rsidR="00D52924" w:rsidRPr="00623182">
        <w:rPr>
          <w:rFonts w:ascii="Times New Roman" w:hAnsi="Times New Roman" w:cs="Times New Roman"/>
          <w:sz w:val="24"/>
          <w:szCs w:val="24"/>
        </w:rPr>
        <w:t xml:space="preserve">The effect of the deductions was that they reduced the appellant’s taxable income and the amount of tax due to the respondent in each tax year. The effect of the disallowance was to add back those amounts to the taxable income with the concomitant corresponding increase of the amount of tax </w:t>
      </w:r>
      <w:r w:rsidR="00D52924" w:rsidRPr="00623182">
        <w:rPr>
          <w:rFonts w:ascii="Times New Roman" w:hAnsi="Times New Roman" w:cs="Times New Roman"/>
          <w:sz w:val="24"/>
          <w:szCs w:val="24"/>
        </w:rPr>
        <w:lastRenderedPageBreak/>
        <w:t>payable to the respondent.  In terms of the general deduction formula, any amount not incurred for the purposes of trade or production of income in the course of the tax year is not deductible in that year while any amount so incurred for that purpose or production of income is deductible.</w:t>
      </w:r>
    </w:p>
    <w:p w:rsidR="00111268" w:rsidRPr="00623182" w:rsidRDefault="000C2AA5" w:rsidP="00F71E5F">
      <w:pPr>
        <w:spacing w:after="0" w:line="360" w:lineRule="auto"/>
        <w:ind w:firstLine="720"/>
        <w:jc w:val="both"/>
        <w:rPr>
          <w:rFonts w:ascii="Times New Roman" w:hAnsi="Times New Roman" w:cs="Times New Roman"/>
          <w:sz w:val="24"/>
          <w:szCs w:val="24"/>
        </w:rPr>
      </w:pPr>
      <w:r w:rsidRPr="00623182">
        <w:rPr>
          <w:rFonts w:ascii="Times New Roman" w:hAnsi="Times New Roman" w:cs="Times New Roman"/>
          <w:sz w:val="24"/>
          <w:szCs w:val="24"/>
        </w:rPr>
        <w:t>It was common ground that p</w:t>
      </w:r>
      <w:r w:rsidR="00D52924" w:rsidRPr="00623182">
        <w:rPr>
          <w:rFonts w:ascii="Times New Roman" w:hAnsi="Times New Roman" w:cs="Times New Roman"/>
          <w:sz w:val="24"/>
          <w:szCs w:val="24"/>
        </w:rPr>
        <w:t xml:space="preserve">rovisions are amounts that are set aside for future anticipated expenses </w:t>
      </w:r>
      <w:r w:rsidR="00111268" w:rsidRPr="00623182">
        <w:rPr>
          <w:rFonts w:ascii="Times New Roman" w:hAnsi="Times New Roman" w:cs="Times New Roman"/>
          <w:sz w:val="24"/>
          <w:szCs w:val="24"/>
        </w:rPr>
        <w:t>that may</w:t>
      </w:r>
      <w:r w:rsidR="00D52924" w:rsidRPr="00623182">
        <w:rPr>
          <w:rFonts w:ascii="Times New Roman" w:hAnsi="Times New Roman" w:cs="Times New Roman"/>
          <w:sz w:val="24"/>
          <w:szCs w:val="24"/>
        </w:rPr>
        <w:t xml:space="preserve"> </w:t>
      </w:r>
      <w:r w:rsidR="00111268" w:rsidRPr="00623182">
        <w:rPr>
          <w:rFonts w:ascii="Times New Roman" w:hAnsi="Times New Roman" w:cs="Times New Roman"/>
          <w:sz w:val="24"/>
          <w:szCs w:val="24"/>
        </w:rPr>
        <w:t xml:space="preserve">be incurred in the tax years subsequent to the tax year in which they are set aside or reserved. Ordinarily, such amounts are not used in the course of trade or for the production of income in the tax year in which they are set aside.  They are therefore not deductible in the tax year in which they are reserved. </w:t>
      </w:r>
    </w:p>
    <w:p w:rsidR="00456785" w:rsidRPr="00623182" w:rsidRDefault="00111268" w:rsidP="00F71E5F">
      <w:pPr>
        <w:spacing w:after="0" w:line="360" w:lineRule="auto"/>
        <w:ind w:firstLine="720"/>
        <w:jc w:val="both"/>
        <w:rPr>
          <w:rFonts w:ascii="Times New Roman" w:hAnsi="Times New Roman" w:cs="Times New Roman"/>
          <w:sz w:val="24"/>
          <w:szCs w:val="24"/>
        </w:rPr>
      </w:pPr>
      <w:r w:rsidRPr="00623182">
        <w:rPr>
          <w:rFonts w:ascii="Times New Roman" w:hAnsi="Times New Roman" w:cs="Times New Roman"/>
          <w:sz w:val="24"/>
          <w:szCs w:val="24"/>
        </w:rPr>
        <w:t xml:space="preserve">The effect of the admissions </w:t>
      </w:r>
      <w:r w:rsidR="00322D31" w:rsidRPr="00623182">
        <w:rPr>
          <w:rFonts w:ascii="Times New Roman" w:hAnsi="Times New Roman" w:cs="Times New Roman"/>
          <w:sz w:val="24"/>
          <w:szCs w:val="24"/>
        </w:rPr>
        <w:t>made in the appellant’s case and the evidence of each of the two witness</w:t>
      </w:r>
      <w:r w:rsidR="00070E2D">
        <w:rPr>
          <w:rFonts w:ascii="Times New Roman" w:hAnsi="Times New Roman" w:cs="Times New Roman"/>
          <w:sz w:val="24"/>
          <w:szCs w:val="24"/>
        </w:rPr>
        <w:t>es</w:t>
      </w:r>
      <w:r w:rsidR="00322D31" w:rsidRPr="00623182">
        <w:rPr>
          <w:rFonts w:ascii="Times New Roman" w:hAnsi="Times New Roman" w:cs="Times New Roman"/>
          <w:sz w:val="24"/>
          <w:szCs w:val="24"/>
        </w:rPr>
        <w:t xml:space="preserve"> who adduced evidence on its behalf </w:t>
      </w:r>
      <w:r w:rsidRPr="00623182">
        <w:rPr>
          <w:rFonts w:ascii="Times New Roman" w:hAnsi="Times New Roman" w:cs="Times New Roman"/>
          <w:sz w:val="24"/>
          <w:szCs w:val="24"/>
        </w:rPr>
        <w:t>that the amounts relating to the four heads were provisions</w:t>
      </w:r>
      <w:r w:rsidR="00FE6E36">
        <w:rPr>
          <w:rFonts w:ascii="Times New Roman" w:hAnsi="Times New Roman" w:cs="Times New Roman"/>
          <w:sz w:val="24"/>
          <w:szCs w:val="24"/>
        </w:rPr>
        <w:t>,</w:t>
      </w:r>
      <w:r w:rsidRPr="00623182">
        <w:rPr>
          <w:rFonts w:ascii="Times New Roman" w:hAnsi="Times New Roman" w:cs="Times New Roman"/>
          <w:sz w:val="24"/>
          <w:szCs w:val="24"/>
        </w:rPr>
        <w:t xml:space="preserve"> was that they were not incurred in the respective years in which they were set aside and were therefore not deductible in those years. The result of such an admission would be that the appellant wrongly deducted them from its income and that the respondent correctly added them back to such income. </w:t>
      </w:r>
    </w:p>
    <w:p w:rsidR="00D52924" w:rsidRPr="00623182" w:rsidRDefault="00456785" w:rsidP="00F71E5F">
      <w:pPr>
        <w:spacing w:after="0" w:line="360" w:lineRule="auto"/>
        <w:ind w:firstLine="720"/>
        <w:jc w:val="both"/>
        <w:rPr>
          <w:rFonts w:ascii="Times New Roman" w:hAnsi="Times New Roman" w:cs="Times New Roman"/>
          <w:sz w:val="24"/>
          <w:szCs w:val="24"/>
        </w:rPr>
      </w:pPr>
      <w:r w:rsidRPr="00623182">
        <w:rPr>
          <w:rFonts w:ascii="Times New Roman" w:hAnsi="Times New Roman" w:cs="Times New Roman"/>
          <w:sz w:val="24"/>
          <w:szCs w:val="24"/>
        </w:rPr>
        <w:t xml:space="preserve">The contention advanced by the appellant was that the “provisions” nomenclature used in the pleadings and evidence and submissions by counsel belied the substance of these amounts. In other </w:t>
      </w:r>
      <w:r w:rsidR="003A05CA" w:rsidRPr="00623182">
        <w:rPr>
          <w:rFonts w:ascii="Times New Roman" w:hAnsi="Times New Roman" w:cs="Times New Roman"/>
          <w:sz w:val="24"/>
          <w:szCs w:val="24"/>
        </w:rPr>
        <w:t>words, the appellant contend</w:t>
      </w:r>
      <w:r w:rsidRPr="00623182">
        <w:rPr>
          <w:rFonts w:ascii="Times New Roman" w:hAnsi="Times New Roman" w:cs="Times New Roman"/>
          <w:sz w:val="24"/>
          <w:szCs w:val="24"/>
        </w:rPr>
        <w:t>ed that it wrongly described these expenses as provisions when in truth and fact</w:t>
      </w:r>
      <w:r w:rsidR="00FE6E36">
        <w:rPr>
          <w:rFonts w:ascii="Times New Roman" w:hAnsi="Times New Roman" w:cs="Times New Roman"/>
          <w:sz w:val="24"/>
          <w:szCs w:val="24"/>
        </w:rPr>
        <w:t>,</w:t>
      </w:r>
      <w:r w:rsidRPr="00623182">
        <w:rPr>
          <w:rFonts w:ascii="Times New Roman" w:hAnsi="Times New Roman" w:cs="Times New Roman"/>
          <w:sz w:val="24"/>
          <w:szCs w:val="24"/>
        </w:rPr>
        <w:t xml:space="preserve"> these amounts were incurred in the financial year to which they related. </w:t>
      </w:r>
      <w:r w:rsidR="00300406" w:rsidRPr="00623182">
        <w:rPr>
          <w:rFonts w:ascii="Times New Roman" w:hAnsi="Times New Roman" w:cs="Times New Roman"/>
          <w:sz w:val="24"/>
          <w:szCs w:val="24"/>
        </w:rPr>
        <w:t>The appellant’s financial year ended on 30 September of each year</w:t>
      </w:r>
      <w:r w:rsidR="003A05CA" w:rsidRPr="00623182">
        <w:rPr>
          <w:rFonts w:ascii="Times New Roman" w:hAnsi="Times New Roman" w:cs="Times New Roman"/>
          <w:sz w:val="24"/>
          <w:szCs w:val="24"/>
        </w:rPr>
        <w:t xml:space="preserve">, which in terms of the Income Tax Act was deemed to coincide with its tax year. </w:t>
      </w:r>
      <w:r w:rsidR="00300406" w:rsidRPr="00623182">
        <w:rPr>
          <w:rFonts w:ascii="Times New Roman" w:hAnsi="Times New Roman" w:cs="Times New Roman"/>
          <w:sz w:val="24"/>
          <w:szCs w:val="24"/>
        </w:rPr>
        <w:t xml:space="preserve"> </w:t>
      </w:r>
      <w:r w:rsidR="00DA5805" w:rsidRPr="00623182">
        <w:rPr>
          <w:rFonts w:ascii="Times New Roman" w:hAnsi="Times New Roman" w:cs="Times New Roman"/>
          <w:sz w:val="24"/>
          <w:szCs w:val="24"/>
        </w:rPr>
        <w:t>The appellant contended that it incurred the “provisions</w:t>
      </w:r>
      <w:r w:rsidR="00B9370F" w:rsidRPr="00623182">
        <w:rPr>
          <w:rFonts w:ascii="Times New Roman" w:hAnsi="Times New Roman" w:cs="Times New Roman"/>
          <w:sz w:val="24"/>
          <w:szCs w:val="24"/>
        </w:rPr>
        <w:t>” before or</w:t>
      </w:r>
      <w:r w:rsidR="00DA5805" w:rsidRPr="00623182">
        <w:rPr>
          <w:rFonts w:ascii="Times New Roman" w:hAnsi="Times New Roman" w:cs="Times New Roman"/>
          <w:sz w:val="24"/>
          <w:szCs w:val="24"/>
        </w:rPr>
        <w:t xml:space="preserve"> on 30 September of each year and paid them in the following financial year</w:t>
      </w:r>
      <w:r w:rsidR="008C5C63" w:rsidRPr="00623182">
        <w:rPr>
          <w:rFonts w:ascii="Times New Roman" w:hAnsi="Times New Roman" w:cs="Times New Roman"/>
          <w:sz w:val="24"/>
          <w:szCs w:val="24"/>
        </w:rPr>
        <w:t xml:space="preserve"> in either November or December</w:t>
      </w:r>
      <w:r w:rsidR="00DA5805" w:rsidRPr="00623182">
        <w:rPr>
          <w:rFonts w:ascii="Times New Roman" w:hAnsi="Times New Roman" w:cs="Times New Roman"/>
          <w:sz w:val="24"/>
          <w:szCs w:val="24"/>
        </w:rPr>
        <w:t>.</w:t>
      </w:r>
      <w:r w:rsidR="00B9370F" w:rsidRPr="00623182">
        <w:rPr>
          <w:rFonts w:ascii="Times New Roman" w:hAnsi="Times New Roman" w:cs="Times New Roman"/>
          <w:sz w:val="24"/>
          <w:szCs w:val="24"/>
        </w:rPr>
        <w:t xml:space="preserve"> On the other hand, the respondent contended that the appellant reserved these amount in each financial year in question but incurred the liability to pay in the subsequent financial year.</w:t>
      </w:r>
    </w:p>
    <w:p w:rsidR="004B02B5" w:rsidRPr="00623182" w:rsidRDefault="004B02B5" w:rsidP="00623182">
      <w:pPr>
        <w:spacing w:line="360" w:lineRule="auto"/>
        <w:jc w:val="both"/>
        <w:rPr>
          <w:rFonts w:ascii="Times New Roman" w:hAnsi="Times New Roman" w:cs="Times New Roman"/>
          <w:sz w:val="24"/>
          <w:szCs w:val="24"/>
          <w:u w:val="single"/>
        </w:rPr>
      </w:pPr>
      <w:r w:rsidRPr="00623182">
        <w:rPr>
          <w:rFonts w:ascii="Times New Roman" w:hAnsi="Times New Roman" w:cs="Times New Roman"/>
          <w:sz w:val="24"/>
          <w:szCs w:val="24"/>
          <w:u w:val="single"/>
        </w:rPr>
        <w:t>The issues</w:t>
      </w:r>
    </w:p>
    <w:p w:rsidR="00DC0C98" w:rsidRPr="00623182" w:rsidRDefault="004B02B5" w:rsidP="00F71E5F">
      <w:pPr>
        <w:spacing w:after="0" w:line="360" w:lineRule="auto"/>
        <w:ind w:firstLine="360"/>
        <w:jc w:val="both"/>
        <w:rPr>
          <w:rFonts w:ascii="Times New Roman" w:hAnsi="Times New Roman" w:cs="Times New Roman"/>
          <w:sz w:val="24"/>
          <w:szCs w:val="24"/>
        </w:rPr>
      </w:pPr>
      <w:r w:rsidRPr="00623182">
        <w:rPr>
          <w:rFonts w:ascii="Times New Roman" w:hAnsi="Times New Roman" w:cs="Times New Roman"/>
          <w:sz w:val="24"/>
          <w:szCs w:val="24"/>
        </w:rPr>
        <w:t>A pre-trial hearing was held on 4 A</w:t>
      </w:r>
      <w:r w:rsidR="003A05CA" w:rsidRPr="00623182">
        <w:rPr>
          <w:rFonts w:ascii="Times New Roman" w:hAnsi="Times New Roman" w:cs="Times New Roman"/>
          <w:sz w:val="24"/>
          <w:szCs w:val="24"/>
        </w:rPr>
        <w:t>pril 2017 and the following five</w:t>
      </w:r>
      <w:r w:rsidRPr="00623182">
        <w:rPr>
          <w:rFonts w:ascii="Times New Roman" w:hAnsi="Times New Roman" w:cs="Times New Roman"/>
          <w:sz w:val="24"/>
          <w:szCs w:val="24"/>
        </w:rPr>
        <w:t xml:space="preserve"> issues were referred for determination on appeal.  </w:t>
      </w:r>
    </w:p>
    <w:p w:rsidR="00DC0C98" w:rsidRPr="00623182" w:rsidRDefault="00DC0C98" w:rsidP="00F71E5F">
      <w:pPr>
        <w:spacing w:after="0" w:line="360" w:lineRule="auto"/>
        <w:ind w:left="360"/>
        <w:jc w:val="both"/>
        <w:rPr>
          <w:rFonts w:ascii="Times New Roman" w:hAnsi="Times New Roman" w:cs="Times New Roman"/>
          <w:sz w:val="24"/>
          <w:szCs w:val="24"/>
        </w:rPr>
      </w:pPr>
      <w:r w:rsidRPr="00623182">
        <w:rPr>
          <w:rFonts w:ascii="Times New Roman" w:hAnsi="Times New Roman" w:cs="Times New Roman"/>
          <w:sz w:val="24"/>
          <w:szCs w:val="24"/>
        </w:rPr>
        <w:t xml:space="preserve">1.1: Whether or not the amounts claimed as deductions by the appellant in respect of pay </w:t>
      </w:r>
      <w:r w:rsidRPr="00623182">
        <w:rPr>
          <w:rFonts w:ascii="Times New Roman" w:hAnsi="Times New Roman" w:cs="Times New Roman"/>
          <w:i/>
          <w:sz w:val="24"/>
          <w:szCs w:val="24"/>
        </w:rPr>
        <w:t>in lieu</w:t>
      </w:r>
      <w:r w:rsidR="00D620FA" w:rsidRPr="00623182">
        <w:rPr>
          <w:rFonts w:ascii="Times New Roman" w:hAnsi="Times New Roman" w:cs="Times New Roman"/>
          <w:sz w:val="24"/>
          <w:szCs w:val="24"/>
        </w:rPr>
        <w:t xml:space="preserve"> of leave, bonuses and gratuities</w:t>
      </w:r>
      <w:r w:rsidRPr="00623182">
        <w:rPr>
          <w:rFonts w:ascii="Times New Roman" w:hAnsi="Times New Roman" w:cs="Times New Roman"/>
          <w:sz w:val="24"/>
          <w:szCs w:val="24"/>
        </w:rPr>
        <w:t xml:space="preserve"> due to its employees were mere provisions or accruals</w:t>
      </w:r>
    </w:p>
    <w:p w:rsidR="00DC0C98" w:rsidRPr="00623182" w:rsidRDefault="00DC0C98" w:rsidP="00F71E5F">
      <w:pPr>
        <w:spacing w:after="0" w:line="360" w:lineRule="auto"/>
        <w:ind w:left="360"/>
        <w:jc w:val="both"/>
        <w:rPr>
          <w:rFonts w:ascii="Times New Roman" w:hAnsi="Times New Roman" w:cs="Times New Roman"/>
          <w:sz w:val="24"/>
          <w:szCs w:val="24"/>
        </w:rPr>
      </w:pPr>
      <w:r w:rsidRPr="00623182">
        <w:rPr>
          <w:rFonts w:ascii="Times New Roman" w:hAnsi="Times New Roman" w:cs="Times New Roman"/>
          <w:sz w:val="24"/>
          <w:szCs w:val="24"/>
        </w:rPr>
        <w:t>1.2</w:t>
      </w:r>
      <w:r w:rsidRPr="00623182">
        <w:rPr>
          <w:rFonts w:ascii="Times New Roman" w:hAnsi="Times New Roman" w:cs="Times New Roman"/>
          <w:sz w:val="24"/>
          <w:szCs w:val="24"/>
        </w:rPr>
        <w:tab/>
        <w:t xml:space="preserve">Whether or not the amounts claimed by the appellant in respect of pay </w:t>
      </w:r>
      <w:r w:rsidRPr="00623182">
        <w:rPr>
          <w:rFonts w:ascii="Times New Roman" w:hAnsi="Times New Roman" w:cs="Times New Roman"/>
          <w:i/>
          <w:sz w:val="24"/>
          <w:szCs w:val="24"/>
        </w:rPr>
        <w:t>in lieu</w:t>
      </w:r>
      <w:r w:rsidR="00D620FA" w:rsidRPr="00623182">
        <w:rPr>
          <w:rFonts w:ascii="Times New Roman" w:hAnsi="Times New Roman" w:cs="Times New Roman"/>
          <w:sz w:val="24"/>
          <w:szCs w:val="24"/>
        </w:rPr>
        <w:t xml:space="preserve"> of leave bonuses and gratuities</w:t>
      </w:r>
      <w:r w:rsidRPr="00623182">
        <w:rPr>
          <w:rFonts w:ascii="Times New Roman" w:hAnsi="Times New Roman" w:cs="Times New Roman"/>
          <w:sz w:val="24"/>
          <w:szCs w:val="24"/>
        </w:rPr>
        <w:t xml:space="preserve"> due to employees had, in the tax years 2009 to 2012 been incurred (in the sense of the appellant’s liability to make payment becoming absolute) at the time a </w:t>
      </w:r>
      <w:r w:rsidRPr="00623182">
        <w:rPr>
          <w:rFonts w:ascii="Times New Roman" w:hAnsi="Times New Roman" w:cs="Times New Roman"/>
          <w:sz w:val="24"/>
          <w:szCs w:val="24"/>
        </w:rPr>
        <w:lastRenderedPageBreak/>
        <w:t>deduction of these expenses were claimed by appellant in terms of s 15 (2) (a) of the Income Tax Act</w:t>
      </w:r>
    </w:p>
    <w:p w:rsidR="00DC0C98" w:rsidRPr="00623182" w:rsidRDefault="00336296" w:rsidP="00F71E5F">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1.3: I</w:t>
      </w:r>
      <w:r w:rsidR="00DC0C98" w:rsidRPr="00623182">
        <w:rPr>
          <w:rFonts w:ascii="Times New Roman" w:hAnsi="Times New Roman" w:cs="Times New Roman"/>
          <w:sz w:val="24"/>
          <w:szCs w:val="24"/>
        </w:rPr>
        <w:t>f they were provisions</w:t>
      </w:r>
      <w:r w:rsidR="005630E2">
        <w:rPr>
          <w:rFonts w:ascii="Times New Roman" w:hAnsi="Times New Roman" w:cs="Times New Roman"/>
          <w:sz w:val="24"/>
          <w:szCs w:val="24"/>
        </w:rPr>
        <w:t>,</w:t>
      </w:r>
      <w:r w:rsidR="00DC0C98" w:rsidRPr="00623182">
        <w:rPr>
          <w:rFonts w:ascii="Times New Roman" w:hAnsi="Times New Roman" w:cs="Times New Roman"/>
          <w:sz w:val="24"/>
          <w:szCs w:val="24"/>
        </w:rPr>
        <w:t xml:space="preserve"> whether or not they could be deducted on the basis of a generally prevailing practice allowing deductions of provisions at the time the assessments were made </w:t>
      </w:r>
    </w:p>
    <w:p w:rsidR="00DC0C98" w:rsidRPr="00623182" w:rsidRDefault="00DC0C98" w:rsidP="00F71E5F">
      <w:pPr>
        <w:spacing w:after="0" w:line="360" w:lineRule="auto"/>
        <w:ind w:left="360"/>
        <w:jc w:val="both"/>
        <w:rPr>
          <w:rFonts w:ascii="Times New Roman" w:hAnsi="Times New Roman" w:cs="Times New Roman"/>
          <w:sz w:val="24"/>
          <w:szCs w:val="24"/>
        </w:rPr>
      </w:pPr>
      <w:r w:rsidRPr="00623182">
        <w:rPr>
          <w:rFonts w:ascii="Times New Roman" w:hAnsi="Times New Roman" w:cs="Times New Roman"/>
          <w:sz w:val="24"/>
          <w:szCs w:val="24"/>
        </w:rPr>
        <w:t xml:space="preserve">1.4 If they were accruals, whether appellant was liable to pay PAYE on such amounts </w:t>
      </w:r>
    </w:p>
    <w:p w:rsidR="00DC0C98" w:rsidRPr="00623182" w:rsidRDefault="00DC0C98" w:rsidP="00F71E5F">
      <w:pPr>
        <w:spacing w:after="0" w:line="360" w:lineRule="auto"/>
        <w:ind w:left="360"/>
        <w:jc w:val="both"/>
        <w:rPr>
          <w:rFonts w:ascii="Times New Roman" w:hAnsi="Times New Roman" w:cs="Times New Roman"/>
          <w:sz w:val="24"/>
          <w:szCs w:val="24"/>
        </w:rPr>
      </w:pPr>
      <w:r w:rsidRPr="00623182">
        <w:rPr>
          <w:rFonts w:ascii="Times New Roman" w:hAnsi="Times New Roman" w:cs="Times New Roman"/>
          <w:sz w:val="24"/>
          <w:szCs w:val="24"/>
        </w:rPr>
        <w:t>1.5 Whether or not it was appropriate to impose a penalty and if so</w:t>
      </w:r>
      <w:r w:rsidR="005C1BA8">
        <w:rPr>
          <w:rFonts w:ascii="Times New Roman" w:hAnsi="Times New Roman" w:cs="Times New Roman"/>
          <w:sz w:val="24"/>
          <w:szCs w:val="24"/>
        </w:rPr>
        <w:t>,</w:t>
      </w:r>
      <w:r w:rsidRPr="00623182">
        <w:rPr>
          <w:rFonts w:ascii="Times New Roman" w:hAnsi="Times New Roman" w:cs="Times New Roman"/>
          <w:sz w:val="24"/>
          <w:szCs w:val="24"/>
        </w:rPr>
        <w:t xml:space="preserve"> the quantum thereof </w:t>
      </w:r>
    </w:p>
    <w:p w:rsidR="00DC0C98" w:rsidRPr="00623182" w:rsidRDefault="00D620FA" w:rsidP="00F71E5F">
      <w:pPr>
        <w:spacing w:after="0" w:line="360" w:lineRule="auto"/>
        <w:jc w:val="both"/>
        <w:rPr>
          <w:rFonts w:ascii="Times New Roman" w:hAnsi="Times New Roman" w:cs="Times New Roman"/>
          <w:sz w:val="24"/>
          <w:szCs w:val="24"/>
        </w:rPr>
      </w:pPr>
      <w:r w:rsidRPr="00623182">
        <w:rPr>
          <w:rFonts w:ascii="Times New Roman" w:hAnsi="Times New Roman" w:cs="Times New Roman"/>
          <w:sz w:val="24"/>
          <w:szCs w:val="24"/>
        </w:rPr>
        <w:t>I determine each issue</w:t>
      </w:r>
      <w:r w:rsidR="00DC0C98" w:rsidRPr="00623182">
        <w:rPr>
          <w:rFonts w:ascii="Times New Roman" w:hAnsi="Times New Roman" w:cs="Times New Roman"/>
          <w:sz w:val="24"/>
          <w:szCs w:val="24"/>
        </w:rPr>
        <w:t xml:space="preserve"> in turn.</w:t>
      </w:r>
    </w:p>
    <w:p w:rsidR="00DC0C98" w:rsidRPr="00623182" w:rsidRDefault="00DC0C98" w:rsidP="00F71E5F">
      <w:pPr>
        <w:spacing w:after="0" w:line="360" w:lineRule="auto"/>
        <w:ind w:left="360"/>
        <w:jc w:val="both"/>
        <w:rPr>
          <w:rFonts w:ascii="Times New Roman" w:hAnsi="Times New Roman" w:cs="Times New Roman"/>
          <w:i/>
          <w:sz w:val="24"/>
          <w:szCs w:val="24"/>
        </w:rPr>
      </w:pPr>
      <w:r w:rsidRPr="00623182">
        <w:rPr>
          <w:rFonts w:ascii="Times New Roman" w:hAnsi="Times New Roman" w:cs="Times New Roman"/>
          <w:i/>
          <w:sz w:val="24"/>
          <w:szCs w:val="24"/>
        </w:rPr>
        <w:t>Whether or not the amounts claimed as deductions by the appellant in respect of pay in lieu of leave, bonuses and gratuity due to its employees were mere provisions or accruals</w:t>
      </w:r>
    </w:p>
    <w:p w:rsidR="00DC0C98" w:rsidRPr="00623182" w:rsidRDefault="00C9552C" w:rsidP="00F71E5F">
      <w:pPr>
        <w:spacing w:after="0" w:line="360" w:lineRule="auto"/>
        <w:ind w:firstLine="360"/>
        <w:jc w:val="both"/>
        <w:rPr>
          <w:rFonts w:ascii="Times New Roman" w:hAnsi="Times New Roman" w:cs="Times New Roman"/>
          <w:sz w:val="24"/>
          <w:szCs w:val="24"/>
        </w:rPr>
      </w:pPr>
      <w:r w:rsidRPr="00623182">
        <w:rPr>
          <w:rFonts w:ascii="Times New Roman" w:hAnsi="Times New Roman" w:cs="Times New Roman"/>
          <w:sz w:val="24"/>
          <w:szCs w:val="24"/>
        </w:rPr>
        <w:t xml:space="preserve">The appellant averred in paras 12, 13, 16, 17, 20 and 21 of its case that the deducted amounts were provisions.  The point was reinforced by each of the two witnesses called by the appellant and by Mr </w:t>
      </w:r>
      <w:r w:rsidRPr="00623182">
        <w:rPr>
          <w:rFonts w:ascii="Times New Roman" w:hAnsi="Times New Roman" w:cs="Times New Roman"/>
          <w:i/>
          <w:sz w:val="24"/>
          <w:szCs w:val="24"/>
        </w:rPr>
        <w:t>de Bourbon</w:t>
      </w:r>
      <w:r w:rsidRPr="00623182">
        <w:rPr>
          <w:rFonts w:ascii="Times New Roman" w:hAnsi="Times New Roman" w:cs="Times New Roman"/>
          <w:sz w:val="24"/>
          <w:szCs w:val="24"/>
        </w:rPr>
        <w:t xml:space="preserve">, for the appellant, as he led each witness in evidence and in his oral submissions. </w:t>
      </w:r>
      <w:r w:rsidR="003F31C9" w:rsidRPr="00623182">
        <w:rPr>
          <w:rFonts w:ascii="Times New Roman" w:hAnsi="Times New Roman" w:cs="Times New Roman"/>
          <w:sz w:val="24"/>
          <w:szCs w:val="24"/>
        </w:rPr>
        <w:t xml:space="preserve"> I agree with Mr </w:t>
      </w:r>
      <w:r w:rsidR="003F31C9" w:rsidRPr="00623182">
        <w:rPr>
          <w:rFonts w:ascii="Times New Roman" w:hAnsi="Times New Roman" w:cs="Times New Roman"/>
          <w:i/>
          <w:sz w:val="24"/>
          <w:szCs w:val="24"/>
        </w:rPr>
        <w:t>Magwaliba</w:t>
      </w:r>
      <w:r w:rsidR="003F31C9" w:rsidRPr="00623182">
        <w:rPr>
          <w:rFonts w:ascii="Times New Roman" w:hAnsi="Times New Roman" w:cs="Times New Roman"/>
          <w:sz w:val="24"/>
          <w:szCs w:val="24"/>
        </w:rPr>
        <w:t xml:space="preserve">, for the respondent, that in terms of s 36 (1) of the Civil Evidence Act </w:t>
      </w:r>
      <w:r w:rsidR="003F31C9" w:rsidRPr="00623182">
        <w:rPr>
          <w:rFonts w:ascii="Times New Roman" w:hAnsi="Times New Roman" w:cs="Times New Roman"/>
          <w:i/>
          <w:sz w:val="24"/>
          <w:szCs w:val="24"/>
        </w:rPr>
        <w:t>[Chapter 8:01]</w:t>
      </w:r>
      <w:r w:rsidR="00EC7837" w:rsidRPr="00623182">
        <w:rPr>
          <w:rFonts w:ascii="Times New Roman" w:hAnsi="Times New Roman" w:cs="Times New Roman"/>
          <w:sz w:val="24"/>
          <w:szCs w:val="24"/>
        </w:rPr>
        <w:t xml:space="preserve"> the admission made in pleadings by a litigant is binding on that litigant. Section 36 provides:</w:t>
      </w:r>
    </w:p>
    <w:p w:rsidR="00EC7837" w:rsidRPr="008B3F42" w:rsidRDefault="00EC7837" w:rsidP="008B3F42">
      <w:pPr>
        <w:autoSpaceDE w:val="0"/>
        <w:autoSpaceDN w:val="0"/>
        <w:adjustRightInd w:val="0"/>
        <w:spacing w:after="0" w:line="240" w:lineRule="auto"/>
        <w:jc w:val="both"/>
        <w:rPr>
          <w:rFonts w:ascii="Times New Roman" w:hAnsi="Times New Roman" w:cs="Times New Roman"/>
          <w:b/>
          <w:bCs/>
        </w:rPr>
      </w:pPr>
      <w:r w:rsidRPr="008B3F42">
        <w:rPr>
          <w:rFonts w:ascii="Times New Roman" w:hAnsi="Times New Roman" w:cs="Times New Roman"/>
        </w:rPr>
        <w:tab/>
        <w:t>“</w:t>
      </w:r>
      <w:r w:rsidRPr="008B3F42">
        <w:rPr>
          <w:rFonts w:ascii="Times New Roman" w:hAnsi="Times New Roman" w:cs="Times New Roman"/>
          <w:b/>
          <w:bCs/>
        </w:rPr>
        <w:t>36 Admissions</w:t>
      </w:r>
    </w:p>
    <w:p w:rsidR="00EC7837" w:rsidRPr="008B3F42" w:rsidRDefault="00EC7837" w:rsidP="008B3F42">
      <w:pPr>
        <w:autoSpaceDE w:val="0"/>
        <w:autoSpaceDN w:val="0"/>
        <w:adjustRightInd w:val="0"/>
        <w:spacing w:after="0" w:line="240" w:lineRule="auto"/>
        <w:ind w:left="1440" w:hanging="720"/>
        <w:jc w:val="both"/>
        <w:rPr>
          <w:rFonts w:ascii="Times New Roman" w:hAnsi="Times New Roman" w:cs="Times New Roman"/>
        </w:rPr>
      </w:pPr>
      <w:r w:rsidRPr="008B3F42">
        <w:rPr>
          <w:rFonts w:ascii="Times New Roman" w:hAnsi="Times New Roman" w:cs="Times New Roman"/>
        </w:rPr>
        <w:t xml:space="preserve">(1) </w:t>
      </w:r>
      <w:r w:rsidRPr="008B3F42">
        <w:rPr>
          <w:rFonts w:ascii="Times New Roman" w:hAnsi="Times New Roman" w:cs="Times New Roman"/>
        </w:rPr>
        <w:tab/>
        <w:t>An admission as to any fact in issue in civil proceedings, made by or on behalf of a party to those proceedings, shall be admissible in evidence as proof of that fact, whether the admission was made orally or in writing or otherwise.</w:t>
      </w:r>
    </w:p>
    <w:p w:rsidR="00EC7837" w:rsidRPr="008B3F42" w:rsidRDefault="00EC7837" w:rsidP="008B3F42">
      <w:pPr>
        <w:autoSpaceDE w:val="0"/>
        <w:autoSpaceDN w:val="0"/>
        <w:adjustRightInd w:val="0"/>
        <w:spacing w:after="0" w:line="240" w:lineRule="auto"/>
        <w:ind w:left="1440" w:hanging="720"/>
        <w:jc w:val="both"/>
        <w:rPr>
          <w:rFonts w:ascii="Times New Roman" w:hAnsi="Times New Roman" w:cs="Times New Roman"/>
        </w:rPr>
      </w:pPr>
      <w:r w:rsidRPr="008B3F42">
        <w:rPr>
          <w:rFonts w:ascii="Times New Roman" w:hAnsi="Times New Roman" w:cs="Times New Roman"/>
        </w:rPr>
        <w:t xml:space="preserve">(2) </w:t>
      </w:r>
      <w:r w:rsidRPr="008B3F42">
        <w:rPr>
          <w:rFonts w:ascii="Times New Roman" w:hAnsi="Times New Roman" w:cs="Times New Roman"/>
        </w:rPr>
        <w:tab/>
        <w:t>Subject to subsection (3), in determining whether or not any fact in issue in civil proceedings has been proved, the court shall give such weight to any admission proved to have been made in respect of that fact as the court considers appropriate, bearing in mind the circumstances and manner in which the admission was made.</w:t>
      </w:r>
    </w:p>
    <w:p w:rsidR="00EC7837" w:rsidRPr="008B3F42" w:rsidRDefault="00EC7837" w:rsidP="008B3F42">
      <w:pPr>
        <w:autoSpaceDE w:val="0"/>
        <w:autoSpaceDN w:val="0"/>
        <w:adjustRightInd w:val="0"/>
        <w:spacing w:after="0" w:line="240" w:lineRule="auto"/>
        <w:ind w:left="1440" w:hanging="720"/>
        <w:jc w:val="both"/>
        <w:rPr>
          <w:rFonts w:ascii="Times New Roman" w:hAnsi="Times New Roman" w:cs="Times New Roman"/>
        </w:rPr>
      </w:pPr>
      <w:r w:rsidRPr="008B3F42">
        <w:rPr>
          <w:rFonts w:ascii="Times New Roman" w:hAnsi="Times New Roman" w:cs="Times New Roman"/>
        </w:rPr>
        <w:t xml:space="preserve">(3) </w:t>
      </w:r>
      <w:r w:rsidRPr="008B3F42">
        <w:rPr>
          <w:rFonts w:ascii="Times New Roman" w:hAnsi="Times New Roman" w:cs="Times New Roman"/>
        </w:rPr>
        <w:tab/>
        <w:t>It shall not be necessary for any party to civil proceedings to prove any fact admitted on the record of the proceedings.</w:t>
      </w:r>
    </w:p>
    <w:p w:rsidR="00EC7837" w:rsidRPr="008B3F42" w:rsidRDefault="00EC7837" w:rsidP="008B3F42">
      <w:pPr>
        <w:autoSpaceDE w:val="0"/>
        <w:autoSpaceDN w:val="0"/>
        <w:adjustRightInd w:val="0"/>
        <w:spacing w:after="0" w:line="240" w:lineRule="auto"/>
        <w:ind w:left="1440" w:hanging="720"/>
        <w:jc w:val="both"/>
        <w:rPr>
          <w:rFonts w:ascii="Times New Roman" w:hAnsi="Times New Roman" w:cs="Times New Roman"/>
        </w:rPr>
      </w:pPr>
      <w:r w:rsidRPr="008B3F42">
        <w:rPr>
          <w:rFonts w:ascii="Times New Roman" w:hAnsi="Times New Roman" w:cs="Times New Roman"/>
        </w:rPr>
        <w:t xml:space="preserve">(4) </w:t>
      </w:r>
      <w:r w:rsidRPr="008B3F42">
        <w:rPr>
          <w:rFonts w:ascii="Times New Roman" w:hAnsi="Times New Roman" w:cs="Times New Roman"/>
        </w:rPr>
        <w:tab/>
        <w:t>It shall not be competent for any party to civil proceedings to disprove any fact admitted by him on the record of the proceedings:</w:t>
      </w:r>
    </w:p>
    <w:p w:rsidR="00EC7837" w:rsidRPr="008B3F42" w:rsidRDefault="00EC7837" w:rsidP="008B3F42">
      <w:pPr>
        <w:autoSpaceDE w:val="0"/>
        <w:autoSpaceDN w:val="0"/>
        <w:adjustRightInd w:val="0"/>
        <w:spacing w:after="0" w:line="240" w:lineRule="auto"/>
        <w:ind w:left="1440" w:firstLine="720"/>
        <w:jc w:val="both"/>
        <w:rPr>
          <w:rFonts w:ascii="Times New Roman" w:hAnsi="Times New Roman" w:cs="Times New Roman"/>
        </w:rPr>
      </w:pPr>
      <w:r w:rsidRPr="008B3F42">
        <w:rPr>
          <w:rFonts w:ascii="Times New Roman" w:hAnsi="Times New Roman" w:cs="Times New Roman"/>
        </w:rPr>
        <w:t>Provided that this subsection shall not prevent any such admission being withdrawn with leave of the court, in which event the fact that the admission was made may be proved in evidence and the court may give such weight to the admission as the court considers appropriate, bearing in mind the circumstances in which it was made and withdrawn.</w:t>
      </w:r>
    </w:p>
    <w:p w:rsidR="00EC7837" w:rsidRPr="00623182" w:rsidRDefault="007D0C0D" w:rsidP="00F71E5F">
      <w:pPr>
        <w:spacing w:after="0" w:line="360" w:lineRule="auto"/>
        <w:jc w:val="both"/>
        <w:rPr>
          <w:rFonts w:ascii="Times New Roman" w:hAnsi="Times New Roman" w:cs="Times New Roman"/>
          <w:sz w:val="24"/>
          <w:szCs w:val="24"/>
        </w:rPr>
      </w:pPr>
      <w:r w:rsidRPr="00623182">
        <w:rPr>
          <w:rFonts w:ascii="Times New Roman" w:hAnsi="Times New Roman" w:cs="Times New Roman"/>
          <w:sz w:val="24"/>
          <w:szCs w:val="24"/>
        </w:rPr>
        <w:t xml:space="preserve"> </w:t>
      </w:r>
      <w:r w:rsidR="00F71E5F">
        <w:rPr>
          <w:rFonts w:ascii="Times New Roman" w:hAnsi="Times New Roman" w:cs="Times New Roman"/>
          <w:sz w:val="24"/>
          <w:szCs w:val="24"/>
        </w:rPr>
        <w:tab/>
      </w:r>
      <w:r w:rsidR="009855CB" w:rsidRPr="00623182">
        <w:rPr>
          <w:rFonts w:ascii="Times New Roman" w:hAnsi="Times New Roman" w:cs="Times New Roman"/>
          <w:sz w:val="24"/>
          <w:szCs w:val="24"/>
        </w:rPr>
        <w:t>In terms of the above ci</w:t>
      </w:r>
      <w:r w:rsidR="00F8573D" w:rsidRPr="00623182">
        <w:rPr>
          <w:rFonts w:ascii="Times New Roman" w:hAnsi="Times New Roman" w:cs="Times New Roman"/>
          <w:sz w:val="24"/>
          <w:szCs w:val="24"/>
        </w:rPr>
        <w:t xml:space="preserve">ted subs (4) of s 36, the appellant is precluded from disproving the concession unless it successfully withdraws it with the leave of the court. The appellant did not seek to withdraw the </w:t>
      </w:r>
      <w:r w:rsidR="00F00FF7" w:rsidRPr="00623182">
        <w:rPr>
          <w:rFonts w:ascii="Times New Roman" w:hAnsi="Times New Roman" w:cs="Times New Roman"/>
          <w:sz w:val="24"/>
          <w:szCs w:val="24"/>
        </w:rPr>
        <w:t xml:space="preserve">“judicial </w:t>
      </w:r>
      <w:r w:rsidR="00F8573D" w:rsidRPr="00623182">
        <w:rPr>
          <w:rFonts w:ascii="Times New Roman" w:hAnsi="Times New Roman" w:cs="Times New Roman"/>
          <w:sz w:val="24"/>
          <w:szCs w:val="24"/>
        </w:rPr>
        <w:t>admissions</w:t>
      </w:r>
      <w:r w:rsidR="00F00FF7" w:rsidRPr="00623182">
        <w:rPr>
          <w:rFonts w:ascii="Times New Roman" w:hAnsi="Times New Roman" w:cs="Times New Roman"/>
          <w:sz w:val="24"/>
          <w:szCs w:val="24"/>
        </w:rPr>
        <w:t>”</w:t>
      </w:r>
      <w:r w:rsidR="00252B20" w:rsidRPr="00623182">
        <w:rPr>
          <w:rStyle w:val="FootnoteReference"/>
          <w:rFonts w:ascii="Times New Roman" w:hAnsi="Times New Roman" w:cs="Times New Roman"/>
          <w:sz w:val="24"/>
          <w:szCs w:val="24"/>
        </w:rPr>
        <w:footnoteReference w:id="3"/>
      </w:r>
      <w:r w:rsidR="00F8573D" w:rsidRPr="00623182">
        <w:rPr>
          <w:rFonts w:ascii="Times New Roman" w:hAnsi="Times New Roman" w:cs="Times New Roman"/>
          <w:sz w:val="24"/>
          <w:szCs w:val="24"/>
        </w:rPr>
        <w:t xml:space="preserve"> at any stage after filing its case or even after the issues for appeal had been determined at the pre-trial hearing. Instead, in oral evidence by its witnesses and in oral submissions by counsel, the amounts in issue were </w:t>
      </w:r>
      <w:r w:rsidR="006E669A">
        <w:rPr>
          <w:rFonts w:ascii="Times New Roman" w:hAnsi="Times New Roman" w:cs="Times New Roman"/>
          <w:sz w:val="24"/>
          <w:szCs w:val="24"/>
        </w:rPr>
        <w:lastRenderedPageBreak/>
        <w:t>liberally categorised as</w:t>
      </w:r>
      <w:r w:rsidR="00F8573D" w:rsidRPr="00623182">
        <w:rPr>
          <w:rFonts w:ascii="Times New Roman" w:hAnsi="Times New Roman" w:cs="Times New Roman"/>
          <w:sz w:val="24"/>
          <w:szCs w:val="24"/>
        </w:rPr>
        <w:t xml:space="preserve"> provisions.</w:t>
      </w:r>
      <w:r w:rsidR="003179E2" w:rsidRPr="00623182">
        <w:rPr>
          <w:rFonts w:ascii="Times New Roman" w:hAnsi="Times New Roman" w:cs="Times New Roman"/>
          <w:sz w:val="24"/>
          <w:szCs w:val="24"/>
        </w:rPr>
        <w:t xml:space="preserve"> It was only in reply to Mr </w:t>
      </w:r>
      <w:r w:rsidR="003179E2" w:rsidRPr="00623182">
        <w:rPr>
          <w:rFonts w:ascii="Times New Roman" w:hAnsi="Times New Roman" w:cs="Times New Roman"/>
          <w:i/>
          <w:sz w:val="24"/>
          <w:szCs w:val="24"/>
        </w:rPr>
        <w:t>Magwaliba’s</w:t>
      </w:r>
      <w:r w:rsidR="003179E2" w:rsidRPr="00623182">
        <w:rPr>
          <w:rFonts w:ascii="Times New Roman" w:hAnsi="Times New Roman" w:cs="Times New Roman"/>
          <w:sz w:val="24"/>
          <w:szCs w:val="24"/>
        </w:rPr>
        <w:t xml:space="preserve"> written and oral submissions that coun</w:t>
      </w:r>
      <w:r w:rsidR="005D4F1C">
        <w:rPr>
          <w:rFonts w:ascii="Times New Roman" w:hAnsi="Times New Roman" w:cs="Times New Roman"/>
          <w:sz w:val="24"/>
          <w:szCs w:val="24"/>
        </w:rPr>
        <w:t>sel for the appellant</w:t>
      </w:r>
      <w:r w:rsidR="003179E2" w:rsidRPr="00623182">
        <w:rPr>
          <w:rFonts w:ascii="Times New Roman" w:hAnsi="Times New Roman" w:cs="Times New Roman"/>
          <w:sz w:val="24"/>
          <w:szCs w:val="24"/>
        </w:rPr>
        <w:t xml:space="preserve"> made the </w:t>
      </w:r>
      <w:r w:rsidR="006B737C" w:rsidRPr="00623182">
        <w:rPr>
          <w:rFonts w:ascii="Times New Roman" w:hAnsi="Times New Roman" w:cs="Times New Roman"/>
          <w:sz w:val="24"/>
          <w:szCs w:val="24"/>
        </w:rPr>
        <w:t xml:space="preserve">feeble </w:t>
      </w:r>
      <w:r w:rsidR="006B737C">
        <w:rPr>
          <w:rFonts w:ascii="Times New Roman" w:hAnsi="Times New Roman" w:cs="Times New Roman"/>
          <w:sz w:val="24"/>
          <w:szCs w:val="24"/>
        </w:rPr>
        <w:t>but</w:t>
      </w:r>
      <w:r w:rsidR="005D4F1C">
        <w:rPr>
          <w:rFonts w:ascii="Times New Roman" w:hAnsi="Times New Roman" w:cs="Times New Roman"/>
          <w:sz w:val="24"/>
          <w:szCs w:val="24"/>
        </w:rPr>
        <w:t xml:space="preserve"> startling </w:t>
      </w:r>
      <w:r w:rsidR="003179E2" w:rsidRPr="00623182">
        <w:rPr>
          <w:rFonts w:ascii="Times New Roman" w:hAnsi="Times New Roman" w:cs="Times New Roman"/>
          <w:sz w:val="24"/>
          <w:szCs w:val="24"/>
        </w:rPr>
        <w:t xml:space="preserve">submission that the admission had been amended by the evidence led by both parties on appeal. He was wrong. The two witnesses continued to refer to the amounts as provisions. In any event, </w:t>
      </w:r>
      <w:r w:rsidR="003179E2" w:rsidRPr="00623182">
        <w:rPr>
          <w:rFonts w:ascii="Times New Roman" w:hAnsi="Times New Roman" w:cs="Times New Roman"/>
          <w:i/>
          <w:sz w:val="24"/>
          <w:szCs w:val="24"/>
        </w:rPr>
        <w:t xml:space="preserve">DD Transport (Pvt) Ltd </w:t>
      </w:r>
      <w:r w:rsidR="003179E2" w:rsidRPr="00D47887">
        <w:rPr>
          <w:rFonts w:ascii="Times New Roman" w:hAnsi="Times New Roman" w:cs="Times New Roman"/>
          <w:sz w:val="24"/>
          <w:szCs w:val="24"/>
        </w:rPr>
        <w:t>v</w:t>
      </w:r>
      <w:r w:rsidR="003179E2" w:rsidRPr="00623182">
        <w:rPr>
          <w:rFonts w:ascii="Times New Roman" w:hAnsi="Times New Roman" w:cs="Times New Roman"/>
          <w:i/>
          <w:sz w:val="24"/>
          <w:szCs w:val="24"/>
        </w:rPr>
        <w:t xml:space="preserve"> Abbot</w:t>
      </w:r>
      <w:r w:rsidR="003179E2" w:rsidRPr="00623182">
        <w:rPr>
          <w:rFonts w:ascii="Times New Roman" w:hAnsi="Times New Roman" w:cs="Times New Roman"/>
          <w:sz w:val="24"/>
          <w:szCs w:val="24"/>
        </w:rPr>
        <w:t xml:space="preserve"> 1988 (2) ZLR 92 (S)</w:t>
      </w:r>
      <w:r w:rsidR="00C27142" w:rsidRPr="00623182">
        <w:rPr>
          <w:rFonts w:ascii="Times New Roman" w:hAnsi="Times New Roman" w:cs="Times New Roman"/>
          <w:sz w:val="24"/>
          <w:szCs w:val="24"/>
        </w:rPr>
        <w:t xml:space="preserve"> at 98A-B</w:t>
      </w:r>
      <w:r w:rsidR="003179E2" w:rsidRPr="00623182">
        <w:rPr>
          <w:rFonts w:ascii="Times New Roman" w:hAnsi="Times New Roman" w:cs="Times New Roman"/>
          <w:sz w:val="24"/>
          <w:szCs w:val="24"/>
        </w:rPr>
        <w:t xml:space="preserve"> </w:t>
      </w:r>
      <w:r w:rsidR="00884AA5" w:rsidRPr="00623182">
        <w:rPr>
          <w:rFonts w:ascii="Times New Roman" w:hAnsi="Times New Roman" w:cs="Times New Roman"/>
          <w:sz w:val="24"/>
          <w:szCs w:val="24"/>
        </w:rPr>
        <w:t>negates the</w:t>
      </w:r>
      <w:r w:rsidR="00C94BEB" w:rsidRPr="00623182">
        <w:rPr>
          <w:rFonts w:ascii="Times New Roman" w:hAnsi="Times New Roman" w:cs="Times New Roman"/>
          <w:sz w:val="24"/>
          <w:szCs w:val="24"/>
        </w:rPr>
        <w:t xml:space="preserve"> submission made </w:t>
      </w:r>
      <w:r w:rsidR="009F1F7D" w:rsidRPr="00623182">
        <w:rPr>
          <w:rFonts w:ascii="Times New Roman" w:hAnsi="Times New Roman" w:cs="Times New Roman"/>
          <w:sz w:val="24"/>
          <w:szCs w:val="24"/>
        </w:rPr>
        <w:t xml:space="preserve">by Mr </w:t>
      </w:r>
      <w:r w:rsidR="009F1F7D" w:rsidRPr="00623182">
        <w:rPr>
          <w:rFonts w:ascii="Times New Roman" w:hAnsi="Times New Roman" w:cs="Times New Roman"/>
          <w:i/>
          <w:sz w:val="24"/>
          <w:szCs w:val="24"/>
        </w:rPr>
        <w:t>de Bourbon</w:t>
      </w:r>
      <w:r w:rsidR="009F1F7D" w:rsidRPr="00623182">
        <w:rPr>
          <w:rFonts w:ascii="Times New Roman" w:hAnsi="Times New Roman" w:cs="Times New Roman"/>
          <w:sz w:val="24"/>
          <w:szCs w:val="24"/>
        </w:rPr>
        <w:t xml:space="preserve"> in this regard.</w:t>
      </w:r>
      <w:r w:rsidR="00C27142" w:rsidRPr="00623182">
        <w:rPr>
          <w:rFonts w:ascii="Times New Roman" w:hAnsi="Times New Roman" w:cs="Times New Roman"/>
          <w:sz w:val="24"/>
          <w:szCs w:val="24"/>
        </w:rPr>
        <w:t xml:space="preserve"> In that case </w:t>
      </w:r>
      <w:r w:rsidR="00D47887" w:rsidRPr="00D47887">
        <w:rPr>
          <w:rFonts w:ascii="Times New Roman" w:hAnsi="Times New Roman" w:cs="Times New Roman"/>
          <w:smallCaps/>
          <w:sz w:val="24"/>
          <w:szCs w:val="24"/>
        </w:rPr>
        <w:t>gubbay ja</w:t>
      </w:r>
      <w:r w:rsidR="00C27142" w:rsidRPr="00623182">
        <w:rPr>
          <w:rFonts w:ascii="Times New Roman" w:hAnsi="Times New Roman" w:cs="Times New Roman"/>
          <w:sz w:val="24"/>
          <w:szCs w:val="24"/>
        </w:rPr>
        <w:t xml:space="preserve">, as he then was, approved as had done </w:t>
      </w:r>
      <w:r w:rsidR="00D47887" w:rsidRPr="00D47887">
        <w:rPr>
          <w:rFonts w:ascii="Times New Roman" w:hAnsi="Times New Roman" w:cs="Times New Roman"/>
          <w:smallCaps/>
          <w:sz w:val="24"/>
          <w:szCs w:val="24"/>
        </w:rPr>
        <w:t>macdonald acj</w:t>
      </w:r>
      <w:r w:rsidR="00D47887" w:rsidRPr="00623182">
        <w:rPr>
          <w:rFonts w:ascii="Times New Roman" w:hAnsi="Times New Roman" w:cs="Times New Roman"/>
          <w:sz w:val="24"/>
          <w:szCs w:val="24"/>
        </w:rPr>
        <w:t xml:space="preserve"> </w:t>
      </w:r>
      <w:r w:rsidR="00C27142" w:rsidRPr="00623182">
        <w:rPr>
          <w:rFonts w:ascii="Times New Roman" w:hAnsi="Times New Roman" w:cs="Times New Roman"/>
          <w:sz w:val="24"/>
          <w:szCs w:val="24"/>
        </w:rPr>
        <w:t xml:space="preserve">in </w:t>
      </w:r>
      <w:r w:rsidR="00C27142" w:rsidRPr="00623182">
        <w:rPr>
          <w:rFonts w:ascii="Times New Roman" w:hAnsi="Times New Roman" w:cs="Times New Roman"/>
          <w:i/>
          <w:sz w:val="24"/>
          <w:szCs w:val="24"/>
        </w:rPr>
        <w:t xml:space="preserve">Moresby-White </w:t>
      </w:r>
      <w:r w:rsidR="00C27142" w:rsidRPr="00D47887">
        <w:rPr>
          <w:rFonts w:ascii="Times New Roman" w:hAnsi="Times New Roman" w:cs="Times New Roman"/>
          <w:sz w:val="24"/>
          <w:szCs w:val="24"/>
        </w:rPr>
        <w:t>v</w:t>
      </w:r>
      <w:r w:rsidR="00C27142" w:rsidRPr="00623182">
        <w:rPr>
          <w:rFonts w:ascii="Times New Roman" w:hAnsi="Times New Roman" w:cs="Times New Roman"/>
          <w:i/>
          <w:sz w:val="24"/>
          <w:szCs w:val="24"/>
        </w:rPr>
        <w:t xml:space="preserve"> Moresby-White </w:t>
      </w:r>
      <w:r w:rsidR="00C27142" w:rsidRPr="00623182">
        <w:rPr>
          <w:rFonts w:ascii="Times New Roman" w:hAnsi="Times New Roman" w:cs="Times New Roman"/>
          <w:sz w:val="24"/>
          <w:szCs w:val="24"/>
        </w:rPr>
        <w:t xml:space="preserve">1972 (1) ZLR 199 (AD) at 203E-H the </w:t>
      </w:r>
      <w:r w:rsidR="00C27142" w:rsidRPr="00623182">
        <w:rPr>
          <w:rFonts w:ascii="Times New Roman" w:hAnsi="Times New Roman" w:cs="Times New Roman"/>
          <w:i/>
          <w:sz w:val="24"/>
          <w:szCs w:val="24"/>
        </w:rPr>
        <w:t>dicta</w:t>
      </w:r>
      <w:r w:rsidR="00C27142" w:rsidRPr="00623182">
        <w:rPr>
          <w:rFonts w:ascii="Times New Roman" w:hAnsi="Times New Roman" w:cs="Times New Roman"/>
          <w:sz w:val="24"/>
          <w:szCs w:val="24"/>
        </w:rPr>
        <w:t xml:space="preserve"> of </w:t>
      </w:r>
      <w:r w:rsidR="00D47887" w:rsidRPr="00D47887">
        <w:rPr>
          <w:rFonts w:ascii="Times New Roman" w:hAnsi="Times New Roman" w:cs="Times New Roman"/>
          <w:smallCaps/>
          <w:sz w:val="24"/>
          <w:szCs w:val="24"/>
        </w:rPr>
        <w:t>davis aja</w:t>
      </w:r>
      <w:r w:rsidR="00D47887" w:rsidRPr="00623182">
        <w:rPr>
          <w:rFonts w:ascii="Times New Roman" w:hAnsi="Times New Roman" w:cs="Times New Roman"/>
          <w:sz w:val="24"/>
          <w:szCs w:val="24"/>
        </w:rPr>
        <w:t xml:space="preserve"> </w:t>
      </w:r>
      <w:r w:rsidR="00C27142" w:rsidRPr="00623182">
        <w:rPr>
          <w:rFonts w:ascii="Times New Roman" w:hAnsi="Times New Roman" w:cs="Times New Roman"/>
          <w:sz w:val="24"/>
          <w:szCs w:val="24"/>
        </w:rPr>
        <w:t xml:space="preserve">in </w:t>
      </w:r>
      <w:r w:rsidR="00C27142" w:rsidRPr="00623182">
        <w:rPr>
          <w:rFonts w:ascii="Times New Roman" w:hAnsi="Times New Roman" w:cs="Times New Roman"/>
          <w:i/>
          <w:sz w:val="24"/>
          <w:szCs w:val="24"/>
        </w:rPr>
        <w:t xml:space="preserve">Gordon </w:t>
      </w:r>
      <w:r w:rsidR="00C27142" w:rsidRPr="00D47887">
        <w:rPr>
          <w:rFonts w:ascii="Times New Roman" w:hAnsi="Times New Roman" w:cs="Times New Roman"/>
          <w:sz w:val="24"/>
          <w:szCs w:val="24"/>
        </w:rPr>
        <w:t>v</w:t>
      </w:r>
      <w:r w:rsidR="00C27142" w:rsidRPr="00623182">
        <w:rPr>
          <w:rFonts w:ascii="Times New Roman" w:hAnsi="Times New Roman" w:cs="Times New Roman"/>
          <w:i/>
          <w:sz w:val="24"/>
          <w:szCs w:val="24"/>
        </w:rPr>
        <w:t xml:space="preserve"> Tarnow</w:t>
      </w:r>
      <w:r w:rsidR="00C27142" w:rsidRPr="00623182">
        <w:rPr>
          <w:rFonts w:ascii="Times New Roman" w:hAnsi="Times New Roman" w:cs="Times New Roman"/>
          <w:sz w:val="24"/>
          <w:szCs w:val="24"/>
        </w:rPr>
        <w:t xml:space="preserve"> 1947 (3) SA 525 (AD) at 532 that:</w:t>
      </w:r>
    </w:p>
    <w:p w:rsidR="00C27142" w:rsidRDefault="00C27142" w:rsidP="00F71E5F">
      <w:pPr>
        <w:spacing w:after="0" w:line="240" w:lineRule="auto"/>
        <w:ind w:left="720"/>
        <w:jc w:val="both"/>
        <w:rPr>
          <w:rFonts w:ascii="Times New Roman" w:hAnsi="Times New Roman" w:cs="Times New Roman"/>
        </w:rPr>
      </w:pPr>
      <w:r w:rsidRPr="00623182">
        <w:rPr>
          <w:rFonts w:ascii="Times New Roman" w:hAnsi="Times New Roman" w:cs="Times New Roman"/>
          <w:sz w:val="24"/>
          <w:szCs w:val="24"/>
        </w:rPr>
        <w:t>“</w:t>
      </w:r>
      <w:r w:rsidR="00B65669" w:rsidRPr="00F71E5F">
        <w:rPr>
          <w:rFonts w:ascii="Times New Roman" w:hAnsi="Times New Roman" w:cs="Times New Roman"/>
        </w:rPr>
        <w:t>It</w:t>
      </w:r>
      <w:r w:rsidRPr="00F71E5F">
        <w:rPr>
          <w:rFonts w:ascii="Times New Roman" w:hAnsi="Times New Roman" w:cs="Times New Roman"/>
        </w:rPr>
        <w:t xml:space="preserve"> does not seem to me that such a discretion could be exercised, in a case where the admission has been made in a pleading, in any other way than by granting an amendment of that pleading.”</w:t>
      </w:r>
    </w:p>
    <w:p w:rsidR="00F71E5F" w:rsidRPr="00F71E5F" w:rsidRDefault="00F71E5F" w:rsidP="00F71E5F">
      <w:pPr>
        <w:spacing w:after="0" w:line="240" w:lineRule="auto"/>
        <w:ind w:left="720"/>
        <w:jc w:val="both"/>
        <w:rPr>
          <w:rFonts w:ascii="Times New Roman" w:hAnsi="Times New Roman" w:cs="Times New Roman"/>
        </w:rPr>
      </w:pPr>
    </w:p>
    <w:p w:rsidR="00B65669" w:rsidRPr="00623182" w:rsidRDefault="00B20FFE" w:rsidP="00F71E5F">
      <w:pPr>
        <w:spacing w:after="0" w:line="360" w:lineRule="auto"/>
        <w:ind w:firstLine="720"/>
        <w:jc w:val="both"/>
        <w:rPr>
          <w:rFonts w:ascii="Times New Roman" w:hAnsi="Times New Roman" w:cs="Times New Roman"/>
          <w:sz w:val="24"/>
          <w:szCs w:val="24"/>
        </w:rPr>
      </w:pPr>
      <w:r w:rsidRPr="00623182">
        <w:rPr>
          <w:rFonts w:ascii="Times New Roman" w:hAnsi="Times New Roman" w:cs="Times New Roman"/>
          <w:sz w:val="24"/>
          <w:szCs w:val="24"/>
        </w:rPr>
        <w:t xml:space="preserve">Any evidence led by the witnesses, which was inconsistent with the admissions would simply lack probative value. </w:t>
      </w:r>
      <w:r w:rsidR="00BF68C2" w:rsidRPr="00623182">
        <w:rPr>
          <w:rFonts w:ascii="Times New Roman" w:hAnsi="Times New Roman" w:cs="Times New Roman"/>
          <w:sz w:val="24"/>
          <w:szCs w:val="24"/>
        </w:rPr>
        <w:t xml:space="preserve">The answer to the first issue was provided by the appellant. The amounts were provisions and not accruals. </w:t>
      </w:r>
      <w:r w:rsidRPr="00623182">
        <w:rPr>
          <w:rFonts w:ascii="Times New Roman" w:hAnsi="Times New Roman" w:cs="Times New Roman"/>
          <w:sz w:val="24"/>
          <w:szCs w:val="24"/>
        </w:rPr>
        <w:t xml:space="preserve"> </w:t>
      </w:r>
      <w:r w:rsidR="008054F1" w:rsidRPr="00623182">
        <w:rPr>
          <w:rFonts w:ascii="Times New Roman" w:hAnsi="Times New Roman" w:cs="Times New Roman"/>
          <w:sz w:val="24"/>
          <w:szCs w:val="24"/>
        </w:rPr>
        <w:t>Again, as I will demonstrate in answer to the third issue, the fact that the appellant did not deduct PAYE from these amounts demonstrated that it treated them as provisions. Had they been expenses incurred it would have deducted the PAYE on these amounts.</w:t>
      </w:r>
    </w:p>
    <w:p w:rsidR="007C3211" w:rsidRPr="00623182" w:rsidRDefault="007C3211" w:rsidP="00F71E5F">
      <w:pPr>
        <w:spacing w:after="0" w:line="360" w:lineRule="auto"/>
        <w:ind w:firstLine="720"/>
        <w:jc w:val="both"/>
        <w:rPr>
          <w:rFonts w:ascii="Times New Roman" w:hAnsi="Times New Roman" w:cs="Times New Roman"/>
          <w:sz w:val="24"/>
          <w:szCs w:val="24"/>
        </w:rPr>
      </w:pPr>
      <w:r w:rsidRPr="00623182">
        <w:rPr>
          <w:rFonts w:ascii="Times New Roman" w:hAnsi="Times New Roman" w:cs="Times New Roman"/>
          <w:sz w:val="24"/>
          <w:szCs w:val="24"/>
        </w:rPr>
        <w:t>Notwithstanding, the admission, the underlying question sought for determination by the parties was whether the</w:t>
      </w:r>
      <w:r w:rsidR="00D26529" w:rsidRPr="00623182">
        <w:rPr>
          <w:rFonts w:ascii="Times New Roman" w:hAnsi="Times New Roman" w:cs="Times New Roman"/>
          <w:sz w:val="24"/>
          <w:szCs w:val="24"/>
        </w:rPr>
        <w:t xml:space="preserve"> amounts under each head in each year were incurred in the financial year to which they related or in the subsequent year. </w:t>
      </w:r>
      <w:r w:rsidRPr="00623182">
        <w:rPr>
          <w:rFonts w:ascii="Times New Roman" w:hAnsi="Times New Roman" w:cs="Times New Roman"/>
          <w:sz w:val="24"/>
          <w:szCs w:val="24"/>
        </w:rPr>
        <w:t xml:space="preserve"> </w:t>
      </w:r>
    </w:p>
    <w:p w:rsidR="00D26529" w:rsidRPr="00623182" w:rsidRDefault="00D26529" w:rsidP="00F71E5F">
      <w:pPr>
        <w:spacing w:after="0" w:line="360" w:lineRule="auto"/>
        <w:jc w:val="both"/>
        <w:rPr>
          <w:rFonts w:ascii="Times New Roman" w:hAnsi="Times New Roman" w:cs="Times New Roman"/>
          <w:sz w:val="24"/>
          <w:szCs w:val="24"/>
          <w:u w:val="single"/>
        </w:rPr>
      </w:pPr>
      <w:r w:rsidRPr="00623182">
        <w:rPr>
          <w:rFonts w:ascii="Times New Roman" w:hAnsi="Times New Roman" w:cs="Times New Roman"/>
          <w:sz w:val="24"/>
          <w:szCs w:val="24"/>
          <w:u w:val="single"/>
        </w:rPr>
        <w:t>The law</w:t>
      </w:r>
    </w:p>
    <w:p w:rsidR="00D26529" w:rsidRPr="00623182" w:rsidRDefault="00D26529" w:rsidP="00F71E5F">
      <w:pPr>
        <w:spacing w:after="0" w:line="360" w:lineRule="auto"/>
        <w:ind w:firstLine="720"/>
        <w:jc w:val="both"/>
        <w:rPr>
          <w:rFonts w:ascii="Times New Roman" w:hAnsi="Times New Roman" w:cs="Times New Roman"/>
          <w:sz w:val="24"/>
          <w:szCs w:val="24"/>
        </w:rPr>
      </w:pPr>
      <w:r w:rsidRPr="00623182">
        <w:rPr>
          <w:rFonts w:ascii="Times New Roman" w:hAnsi="Times New Roman" w:cs="Times New Roman"/>
          <w:sz w:val="24"/>
          <w:szCs w:val="24"/>
        </w:rPr>
        <w:t xml:space="preserve">The meaning of </w:t>
      </w:r>
      <w:r w:rsidR="0063026B">
        <w:rPr>
          <w:rFonts w:ascii="Times New Roman" w:hAnsi="Times New Roman" w:cs="Times New Roman"/>
          <w:sz w:val="24"/>
          <w:szCs w:val="24"/>
        </w:rPr>
        <w:t>“</w:t>
      </w:r>
      <w:r w:rsidRPr="00623182">
        <w:rPr>
          <w:rFonts w:ascii="Times New Roman" w:hAnsi="Times New Roman" w:cs="Times New Roman"/>
          <w:sz w:val="24"/>
          <w:szCs w:val="24"/>
        </w:rPr>
        <w:t>incurred</w:t>
      </w:r>
      <w:r w:rsidR="0063026B">
        <w:rPr>
          <w:rFonts w:ascii="Times New Roman" w:hAnsi="Times New Roman" w:cs="Times New Roman"/>
          <w:sz w:val="24"/>
          <w:szCs w:val="24"/>
        </w:rPr>
        <w:t>”</w:t>
      </w:r>
      <w:r w:rsidRPr="00623182">
        <w:rPr>
          <w:rFonts w:ascii="Times New Roman" w:hAnsi="Times New Roman" w:cs="Times New Roman"/>
          <w:sz w:val="24"/>
          <w:szCs w:val="24"/>
        </w:rPr>
        <w:t xml:space="preserve"> has been set out in many judgments. The word is synonymous with “an unconditional legal obligation</w:t>
      </w:r>
      <w:r w:rsidR="009D6043" w:rsidRPr="00623182">
        <w:rPr>
          <w:rFonts w:ascii="Times New Roman" w:hAnsi="Times New Roman" w:cs="Times New Roman"/>
          <w:sz w:val="24"/>
          <w:szCs w:val="24"/>
        </w:rPr>
        <w:t xml:space="preserve"> </w:t>
      </w:r>
      <w:r w:rsidRPr="00623182">
        <w:rPr>
          <w:rFonts w:ascii="Times New Roman" w:hAnsi="Times New Roman" w:cs="Times New Roman"/>
          <w:sz w:val="24"/>
          <w:szCs w:val="24"/>
        </w:rPr>
        <w:t>to pay.”</w:t>
      </w:r>
      <w:r w:rsidR="009D6043" w:rsidRPr="00623182">
        <w:rPr>
          <w:rFonts w:ascii="Times New Roman" w:hAnsi="Times New Roman" w:cs="Times New Roman"/>
          <w:sz w:val="24"/>
          <w:szCs w:val="24"/>
        </w:rPr>
        <w:t xml:space="preserve"> See </w:t>
      </w:r>
      <w:r w:rsidR="009D6043" w:rsidRPr="00623182">
        <w:rPr>
          <w:rFonts w:ascii="Times New Roman" w:hAnsi="Times New Roman" w:cs="Times New Roman"/>
          <w:i/>
          <w:sz w:val="24"/>
          <w:szCs w:val="24"/>
        </w:rPr>
        <w:t xml:space="preserve">G Bank Zimbabwe Ltd </w:t>
      </w:r>
      <w:r w:rsidR="009D6043" w:rsidRPr="00D47887">
        <w:rPr>
          <w:rFonts w:ascii="Times New Roman" w:hAnsi="Times New Roman" w:cs="Times New Roman"/>
          <w:sz w:val="24"/>
          <w:szCs w:val="24"/>
        </w:rPr>
        <w:t>v</w:t>
      </w:r>
      <w:r w:rsidR="009D6043" w:rsidRPr="00623182">
        <w:rPr>
          <w:rFonts w:ascii="Times New Roman" w:hAnsi="Times New Roman" w:cs="Times New Roman"/>
          <w:i/>
          <w:sz w:val="24"/>
          <w:szCs w:val="24"/>
        </w:rPr>
        <w:t xml:space="preserve"> Zimbabwe Revenue Authority </w:t>
      </w:r>
      <w:r w:rsidR="009D6043" w:rsidRPr="00623182">
        <w:rPr>
          <w:rFonts w:ascii="Times New Roman" w:hAnsi="Times New Roman" w:cs="Times New Roman"/>
          <w:sz w:val="24"/>
          <w:szCs w:val="24"/>
        </w:rPr>
        <w:t>2015 (1) ZLR 348 (H) at 354E-355A</w:t>
      </w:r>
      <w:r w:rsidR="00953062" w:rsidRPr="00623182">
        <w:rPr>
          <w:rFonts w:ascii="Times New Roman" w:hAnsi="Times New Roman" w:cs="Times New Roman"/>
          <w:sz w:val="24"/>
          <w:szCs w:val="24"/>
        </w:rPr>
        <w:t xml:space="preserve"> and the case cited therein</w:t>
      </w:r>
      <w:r w:rsidR="009D6043" w:rsidRPr="00623182">
        <w:rPr>
          <w:rFonts w:ascii="Times New Roman" w:hAnsi="Times New Roman" w:cs="Times New Roman"/>
          <w:sz w:val="24"/>
          <w:szCs w:val="24"/>
        </w:rPr>
        <w:t>.</w:t>
      </w:r>
      <w:r w:rsidR="00953062" w:rsidRPr="00623182">
        <w:rPr>
          <w:rFonts w:ascii="Times New Roman" w:hAnsi="Times New Roman" w:cs="Times New Roman"/>
          <w:sz w:val="24"/>
          <w:szCs w:val="24"/>
        </w:rPr>
        <w:t xml:space="preserve"> The sentiments of CORBETT CJ in </w:t>
      </w:r>
      <w:r w:rsidR="00953062" w:rsidRPr="00623182">
        <w:rPr>
          <w:rFonts w:ascii="Times New Roman" w:hAnsi="Times New Roman" w:cs="Times New Roman"/>
          <w:i/>
          <w:sz w:val="24"/>
          <w:szCs w:val="24"/>
        </w:rPr>
        <w:t xml:space="preserve">Edgars Stores Ltd </w:t>
      </w:r>
      <w:r w:rsidR="00953062" w:rsidRPr="00F71E5F">
        <w:rPr>
          <w:rFonts w:ascii="Times New Roman" w:hAnsi="Times New Roman" w:cs="Times New Roman"/>
          <w:sz w:val="24"/>
          <w:szCs w:val="24"/>
        </w:rPr>
        <w:t>v</w:t>
      </w:r>
      <w:r w:rsidR="00953062" w:rsidRPr="00623182">
        <w:rPr>
          <w:rFonts w:ascii="Times New Roman" w:hAnsi="Times New Roman" w:cs="Times New Roman"/>
          <w:i/>
          <w:sz w:val="24"/>
          <w:szCs w:val="24"/>
        </w:rPr>
        <w:t xml:space="preserve"> Commissioner of Inland Revenue</w:t>
      </w:r>
      <w:r w:rsidR="00953062" w:rsidRPr="00623182">
        <w:rPr>
          <w:rFonts w:ascii="Times New Roman" w:hAnsi="Times New Roman" w:cs="Times New Roman"/>
          <w:sz w:val="24"/>
          <w:szCs w:val="24"/>
        </w:rPr>
        <w:t xml:space="preserve"> 1988 (3) SA 876 (A) at 889</w:t>
      </w:r>
      <w:r w:rsidR="00695047" w:rsidRPr="00623182">
        <w:rPr>
          <w:rFonts w:ascii="Times New Roman" w:hAnsi="Times New Roman" w:cs="Times New Roman"/>
          <w:sz w:val="24"/>
          <w:szCs w:val="24"/>
        </w:rPr>
        <w:t>A-D</w:t>
      </w:r>
      <w:r w:rsidR="00953062" w:rsidRPr="00623182">
        <w:rPr>
          <w:rFonts w:ascii="Times New Roman" w:hAnsi="Times New Roman" w:cs="Times New Roman"/>
          <w:sz w:val="24"/>
          <w:szCs w:val="24"/>
        </w:rPr>
        <w:t xml:space="preserve"> (not 899A-C, as recorded in </w:t>
      </w:r>
      <w:r w:rsidR="00953062" w:rsidRPr="00623182">
        <w:rPr>
          <w:rFonts w:ascii="Times New Roman" w:hAnsi="Times New Roman" w:cs="Times New Roman"/>
          <w:i/>
          <w:sz w:val="24"/>
          <w:szCs w:val="24"/>
        </w:rPr>
        <w:t>G Bank, supra</w:t>
      </w:r>
      <w:r w:rsidR="00953062" w:rsidRPr="00623182">
        <w:rPr>
          <w:rFonts w:ascii="Times New Roman" w:hAnsi="Times New Roman" w:cs="Times New Roman"/>
          <w:sz w:val="24"/>
          <w:szCs w:val="24"/>
        </w:rPr>
        <w:t xml:space="preserve">) are worth repeating. </w:t>
      </w:r>
    </w:p>
    <w:p w:rsidR="00DC0C98" w:rsidRPr="00F71E5F" w:rsidRDefault="00953062" w:rsidP="00F71E5F">
      <w:pPr>
        <w:spacing w:line="240" w:lineRule="auto"/>
        <w:ind w:left="720"/>
        <w:jc w:val="both"/>
        <w:rPr>
          <w:rFonts w:ascii="Times New Roman" w:hAnsi="Times New Roman" w:cs="Times New Roman"/>
        </w:rPr>
      </w:pPr>
      <w:r w:rsidRPr="00F71E5F">
        <w:rPr>
          <w:rFonts w:ascii="Times New Roman" w:hAnsi="Times New Roman" w:cs="Times New Roman"/>
        </w:rPr>
        <w:t>“</w:t>
      </w:r>
      <w:r w:rsidR="001D0E0D" w:rsidRPr="00F71E5F">
        <w:rPr>
          <w:rFonts w:ascii="Times New Roman" w:hAnsi="Times New Roman" w:cs="Times New Roman"/>
        </w:rPr>
        <w:t>T</w:t>
      </w:r>
      <w:r w:rsidRPr="00F71E5F">
        <w:rPr>
          <w:rFonts w:ascii="Times New Roman" w:hAnsi="Times New Roman" w:cs="Times New Roman"/>
        </w:rPr>
        <w:t xml:space="preserve">hus it is clear that only expenditure (otherwise qualifying for deduction) in respect of which the taxpayer has incurred an unconditional legal obligation during the year of assessment in question may be deducted in terms of s 11 (a) from income returned for that year. The obligation may be unconditional </w:t>
      </w:r>
      <w:r w:rsidRPr="00F71E5F">
        <w:rPr>
          <w:rFonts w:ascii="Times New Roman" w:hAnsi="Times New Roman" w:cs="Times New Roman"/>
          <w:i/>
        </w:rPr>
        <w:t>ab initio</w:t>
      </w:r>
      <w:r w:rsidRPr="00F71E5F">
        <w:rPr>
          <w:rFonts w:ascii="Times New Roman" w:hAnsi="Times New Roman" w:cs="Times New Roman"/>
        </w:rPr>
        <w:t xml:space="preserve"> or, though initially conditional, may become unconditional </w:t>
      </w:r>
      <w:r w:rsidR="00695047" w:rsidRPr="00F71E5F">
        <w:rPr>
          <w:rFonts w:ascii="Times New Roman" w:hAnsi="Times New Roman" w:cs="Times New Roman"/>
        </w:rPr>
        <w:t xml:space="preserve">by fulfilment of the condition during the year of assessment; in either case the relative expenditure is deductible in that year. But if the obligation is initially incurred as a conditional one during a particular year of assessment and the condition is fulfilled only in the following year of assessment (the other requirements of deductibility being satisfied). It is, of course, important in this context to distinguish between (i) expenditure in respect of which the obligation is conditional and remains so during the year of </w:t>
      </w:r>
      <w:r w:rsidR="00695047" w:rsidRPr="00F71E5F">
        <w:rPr>
          <w:rFonts w:ascii="Times New Roman" w:hAnsi="Times New Roman" w:cs="Times New Roman"/>
        </w:rPr>
        <w:lastRenderedPageBreak/>
        <w:t>assessment, and (ii) expenditure in respect of which the obligation is or during the year of assessment becomes unconditional, but cannot be quantified until the after the termination of the year of assessment.”</w:t>
      </w:r>
    </w:p>
    <w:p w:rsidR="00737E01" w:rsidRPr="00623182" w:rsidRDefault="00F8381D" w:rsidP="00F71E5F">
      <w:pPr>
        <w:spacing w:after="0" w:line="360" w:lineRule="auto"/>
        <w:jc w:val="both"/>
        <w:rPr>
          <w:rFonts w:ascii="Times New Roman" w:hAnsi="Times New Roman" w:cs="Times New Roman"/>
          <w:sz w:val="24"/>
          <w:szCs w:val="24"/>
          <w:u w:val="single"/>
        </w:rPr>
      </w:pPr>
      <w:r w:rsidRPr="00623182">
        <w:rPr>
          <w:rFonts w:ascii="Times New Roman" w:hAnsi="Times New Roman" w:cs="Times New Roman"/>
          <w:sz w:val="24"/>
          <w:szCs w:val="24"/>
          <w:u w:val="single"/>
        </w:rPr>
        <w:t>The application of the law to the facts</w:t>
      </w:r>
    </w:p>
    <w:p w:rsidR="00B64C79" w:rsidRPr="00E9029D" w:rsidRDefault="00B64C79" w:rsidP="00F71E5F">
      <w:pPr>
        <w:spacing w:after="0" w:line="360" w:lineRule="auto"/>
        <w:jc w:val="both"/>
        <w:rPr>
          <w:rFonts w:ascii="Times New Roman" w:hAnsi="Times New Roman" w:cs="Times New Roman"/>
          <w:i/>
          <w:sz w:val="24"/>
          <w:szCs w:val="24"/>
        </w:rPr>
      </w:pPr>
      <w:r w:rsidRPr="00E9029D">
        <w:rPr>
          <w:rFonts w:ascii="Times New Roman" w:hAnsi="Times New Roman" w:cs="Times New Roman"/>
          <w:i/>
          <w:sz w:val="24"/>
          <w:szCs w:val="24"/>
        </w:rPr>
        <w:t>Cash in lieu of leave</w:t>
      </w:r>
      <w:r w:rsidR="003737FF" w:rsidRPr="00E9029D">
        <w:rPr>
          <w:rFonts w:ascii="Times New Roman" w:hAnsi="Times New Roman" w:cs="Times New Roman"/>
          <w:i/>
          <w:sz w:val="24"/>
          <w:szCs w:val="24"/>
        </w:rPr>
        <w:t>, CILL</w:t>
      </w:r>
    </w:p>
    <w:p w:rsidR="00A64AD8" w:rsidRPr="00623182" w:rsidRDefault="00B64C79" w:rsidP="00F71E5F">
      <w:pPr>
        <w:spacing w:after="0" w:line="360" w:lineRule="auto"/>
        <w:ind w:firstLine="720"/>
        <w:jc w:val="both"/>
        <w:rPr>
          <w:rFonts w:ascii="Times New Roman" w:hAnsi="Times New Roman" w:cs="Times New Roman"/>
          <w:sz w:val="24"/>
          <w:szCs w:val="24"/>
        </w:rPr>
      </w:pPr>
      <w:r w:rsidRPr="00623182">
        <w:rPr>
          <w:rFonts w:ascii="Times New Roman" w:hAnsi="Times New Roman" w:cs="Times New Roman"/>
          <w:sz w:val="24"/>
          <w:szCs w:val="24"/>
        </w:rPr>
        <w:t xml:space="preserve">It was common cause that the employees accrue leave </w:t>
      </w:r>
      <w:r w:rsidR="00A64AD8" w:rsidRPr="00623182">
        <w:rPr>
          <w:rFonts w:ascii="Times New Roman" w:hAnsi="Times New Roman" w:cs="Times New Roman"/>
          <w:sz w:val="24"/>
          <w:szCs w:val="24"/>
        </w:rPr>
        <w:t xml:space="preserve">days every month. In terms of clause </w:t>
      </w:r>
      <w:r w:rsidR="00DC54E3" w:rsidRPr="00623182">
        <w:rPr>
          <w:rFonts w:ascii="Times New Roman" w:hAnsi="Times New Roman" w:cs="Times New Roman"/>
          <w:sz w:val="24"/>
          <w:szCs w:val="24"/>
        </w:rPr>
        <w:t xml:space="preserve">18 (1) of the CBA </w:t>
      </w:r>
      <w:r w:rsidR="0038126F" w:rsidRPr="00623182">
        <w:rPr>
          <w:rFonts w:ascii="Times New Roman" w:hAnsi="Times New Roman" w:cs="Times New Roman"/>
          <w:sz w:val="24"/>
          <w:szCs w:val="24"/>
        </w:rPr>
        <w:t xml:space="preserve">every employee is entitled to annual leave calculated </w:t>
      </w:r>
      <w:r w:rsidR="00DC54E3" w:rsidRPr="00623182">
        <w:rPr>
          <w:rFonts w:ascii="Times New Roman" w:hAnsi="Times New Roman" w:cs="Times New Roman"/>
          <w:sz w:val="24"/>
          <w:szCs w:val="24"/>
        </w:rPr>
        <w:t>in accordance with Schedule D paid at the employee’s basic earnings. In terms of clause 18 (3) the payment shall be made at the time when leave is taken while annual leave shall be paid before the employee proceeds on leave, provided the leave is in excess of 7 consecutive days. Sub clause (5) and (6) of clause 18 provides that “all annual leave shall be taken at the convenience of the employer, and shall be on 14 days’ notice” and is granted by the employer. In terms of sub clause (7) thereof, the emplo</w:t>
      </w:r>
      <w:r w:rsidR="0038126F" w:rsidRPr="00623182">
        <w:rPr>
          <w:rFonts w:ascii="Times New Roman" w:hAnsi="Times New Roman" w:cs="Times New Roman"/>
          <w:sz w:val="24"/>
          <w:szCs w:val="24"/>
        </w:rPr>
        <w:t xml:space="preserve">yee may accumulate twice as many </w:t>
      </w:r>
      <w:r w:rsidR="00DC54E3" w:rsidRPr="00623182">
        <w:rPr>
          <w:rFonts w:ascii="Times New Roman" w:hAnsi="Times New Roman" w:cs="Times New Roman"/>
          <w:sz w:val="24"/>
          <w:szCs w:val="24"/>
        </w:rPr>
        <w:t xml:space="preserve">days of the total due under Schedule D, or thrice if going on extended leave and may not forfeit excess days if failure to take leave </w:t>
      </w:r>
      <w:r w:rsidR="00440038" w:rsidRPr="00623182">
        <w:rPr>
          <w:rFonts w:ascii="Times New Roman" w:hAnsi="Times New Roman" w:cs="Times New Roman"/>
          <w:sz w:val="24"/>
          <w:szCs w:val="24"/>
        </w:rPr>
        <w:t xml:space="preserve">is at the employer’s request. </w:t>
      </w:r>
      <w:r w:rsidR="00DC54E3" w:rsidRPr="00623182">
        <w:rPr>
          <w:rFonts w:ascii="Times New Roman" w:hAnsi="Times New Roman" w:cs="Times New Roman"/>
          <w:sz w:val="24"/>
          <w:szCs w:val="24"/>
        </w:rPr>
        <w:t xml:space="preserve"> </w:t>
      </w:r>
      <w:r w:rsidR="0038126F" w:rsidRPr="00623182">
        <w:rPr>
          <w:rFonts w:ascii="Times New Roman" w:hAnsi="Times New Roman" w:cs="Times New Roman"/>
          <w:sz w:val="24"/>
          <w:szCs w:val="24"/>
        </w:rPr>
        <w:t>In terms of sub clause</w:t>
      </w:r>
      <w:r w:rsidR="00DF6CC9" w:rsidRPr="00623182">
        <w:rPr>
          <w:rFonts w:ascii="Times New Roman" w:hAnsi="Times New Roman" w:cs="Times New Roman"/>
          <w:sz w:val="24"/>
          <w:szCs w:val="24"/>
        </w:rPr>
        <w:t xml:space="preserve"> (8) </w:t>
      </w:r>
      <w:r w:rsidR="004630BE" w:rsidRPr="00623182">
        <w:rPr>
          <w:rFonts w:ascii="Times New Roman" w:hAnsi="Times New Roman" w:cs="Times New Roman"/>
          <w:sz w:val="24"/>
          <w:szCs w:val="24"/>
        </w:rPr>
        <w:t>any</w:t>
      </w:r>
      <w:r w:rsidR="00DF6CC9" w:rsidRPr="00623182">
        <w:rPr>
          <w:rFonts w:ascii="Times New Roman" w:hAnsi="Times New Roman" w:cs="Times New Roman"/>
          <w:sz w:val="24"/>
          <w:szCs w:val="24"/>
        </w:rPr>
        <w:t xml:space="preserve"> employee who has completed not less than 6 months continuous</w:t>
      </w:r>
      <w:r w:rsidR="00345D7E">
        <w:rPr>
          <w:rFonts w:ascii="Times New Roman" w:hAnsi="Times New Roman" w:cs="Times New Roman"/>
          <w:sz w:val="24"/>
          <w:szCs w:val="24"/>
        </w:rPr>
        <w:t xml:space="preserve"> s</w:t>
      </w:r>
      <w:r w:rsidR="00DF6CC9" w:rsidRPr="00623182">
        <w:rPr>
          <w:rFonts w:ascii="Times New Roman" w:hAnsi="Times New Roman" w:cs="Times New Roman"/>
          <w:sz w:val="24"/>
          <w:szCs w:val="24"/>
        </w:rPr>
        <w:t xml:space="preserve">ervice shall receive cash </w:t>
      </w:r>
      <w:r w:rsidR="00DF6CC9" w:rsidRPr="00623182">
        <w:rPr>
          <w:rFonts w:ascii="Times New Roman" w:hAnsi="Times New Roman" w:cs="Times New Roman"/>
          <w:i/>
          <w:sz w:val="24"/>
          <w:szCs w:val="24"/>
        </w:rPr>
        <w:t>in lieu</w:t>
      </w:r>
      <w:r w:rsidR="00DF6CC9" w:rsidRPr="00623182">
        <w:rPr>
          <w:rFonts w:ascii="Times New Roman" w:hAnsi="Times New Roman" w:cs="Times New Roman"/>
          <w:sz w:val="24"/>
          <w:szCs w:val="24"/>
        </w:rPr>
        <w:t xml:space="preserve"> of annual leave on termination of </w:t>
      </w:r>
      <w:r w:rsidR="004630BE" w:rsidRPr="00623182">
        <w:rPr>
          <w:rFonts w:ascii="Times New Roman" w:hAnsi="Times New Roman" w:cs="Times New Roman"/>
          <w:sz w:val="24"/>
          <w:szCs w:val="24"/>
        </w:rPr>
        <w:t>employment, such</w:t>
      </w:r>
      <w:r w:rsidR="00DF6CC9" w:rsidRPr="00623182">
        <w:rPr>
          <w:rFonts w:ascii="Times New Roman" w:hAnsi="Times New Roman" w:cs="Times New Roman"/>
          <w:sz w:val="24"/>
          <w:szCs w:val="24"/>
        </w:rPr>
        <w:t xml:space="preserve"> payment being in respect of that portion of the annual leave which has been earned to the date of termination</w:t>
      </w:r>
      <w:r w:rsidR="004630BE" w:rsidRPr="00623182">
        <w:rPr>
          <w:rFonts w:ascii="Times New Roman" w:hAnsi="Times New Roman" w:cs="Times New Roman"/>
          <w:sz w:val="24"/>
          <w:szCs w:val="24"/>
        </w:rPr>
        <w:t xml:space="preserve">. And lastly sub clause 11 states that </w:t>
      </w:r>
      <w:r w:rsidR="009428DC">
        <w:rPr>
          <w:rFonts w:ascii="Times New Roman" w:hAnsi="Times New Roman" w:cs="Times New Roman"/>
          <w:sz w:val="24"/>
          <w:szCs w:val="24"/>
        </w:rPr>
        <w:t>“</w:t>
      </w:r>
      <w:r w:rsidR="004630BE" w:rsidRPr="00623182">
        <w:rPr>
          <w:rFonts w:ascii="Times New Roman" w:hAnsi="Times New Roman" w:cs="Times New Roman"/>
          <w:sz w:val="24"/>
          <w:szCs w:val="24"/>
        </w:rPr>
        <w:t>any p</w:t>
      </w:r>
      <w:r w:rsidR="000F5FAE" w:rsidRPr="00623182">
        <w:rPr>
          <w:rFonts w:ascii="Times New Roman" w:hAnsi="Times New Roman" w:cs="Times New Roman"/>
          <w:sz w:val="24"/>
          <w:szCs w:val="24"/>
        </w:rPr>
        <w:t>ayment</w:t>
      </w:r>
      <w:r w:rsidR="00A64AD8" w:rsidRPr="00623182">
        <w:rPr>
          <w:rFonts w:ascii="Times New Roman" w:hAnsi="Times New Roman" w:cs="Times New Roman"/>
          <w:sz w:val="24"/>
          <w:szCs w:val="24"/>
        </w:rPr>
        <w:t xml:space="preserve"> </w:t>
      </w:r>
      <w:r w:rsidR="00A64AD8" w:rsidRPr="00D908A4">
        <w:rPr>
          <w:rFonts w:ascii="Times New Roman" w:hAnsi="Times New Roman" w:cs="Times New Roman"/>
          <w:i/>
          <w:sz w:val="24"/>
          <w:szCs w:val="24"/>
        </w:rPr>
        <w:t>in lieu</w:t>
      </w:r>
      <w:r w:rsidR="00A64AD8" w:rsidRPr="00623182">
        <w:rPr>
          <w:rFonts w:ascii="Times New Roman" w:hAnsi="Times New Roman" w:cs="Times New Roman"/>
          <w:sz w:val="24"/>
          <w:szCs w:val="24"/>
        </w:rPr>
        <w:t xml:space="preserve"> of </w:t>
      </w:r>
      <w:r w:rsidR="00EE5889" w:rsidRPr="00623182">
        <w:rPr>
          <w:rFonts w:ascii="Times New Roman" w:hAnsi="Times New Roman" w:cs="Times New Roman"/>
          <w:sz w:val="24"/>
          <w:szCs w:val="24"/>
        </w:rPr>
        <w:t xml:space="preserve">annual </w:t>
      </w:r>
      <w:r w:rsidR="00A64AD8" w:rsidRPr="00623182">
        <w:rPr>
          <w:rFonts w:ascii="Times New Roman" w:hAnsi="Times New Roman" w:cs="Times New Roman"/>
          <w:sz w:val="24"/>
          <w:szCs w:val="24"/>
        </w:rPr>
        <w:t xml:space="preserve">leave may be made by mutual </w:t>
      </w:r>
      <w:r w:rsidR="004630BE" w:rsidRPr="00623182">
        <w:rPr>
          <w:rFonts w:ascii="Times New Roman" w:hAnsi="Times New Roman" w:cs="Times New Roman"/>
          <w:sz w:val="24"/>
          <w:szCs w:val="24"/>
        </w:rPr>
        <w:t>arrangement</w:t>
      </w:r>
      <w:r w:rsidR="00A64AD8" w:rsidRPr="00623182">
        <w:rPr>
          <w:rFonts w:ascii="Times New Roman" w:hAnsi="Times New Roman" w:cs="Times New Roman"/>
          <w:sz w:val="24"/>
          <w:szCs w:val="24"/>
        </w:rPr>
        <w:t xml:space="preserve"> between employer and employee</w:t>
      </w:r>
      <w:r w:rsidR="004630BE" w:rsidRPr="00623182">
        <w:rPr>
          <w:rFonts w:ascii="Times New Roman" w:hAnsi="Times New Roman" w:cs="Times New Roman"/>
          <w:sz w:val="24"/>
          <w:szCs w:val="24"/>
        </w:rPr>
        <w:t>.”</w:t>
      </w:r>
      <w:r w:rsidR="00A64AD8" w:rsidRPr="00623182">
        <w:rPr>
          <w:rFonts w:ascii="Times New Roman" w:hAnsi="Times New Roman" w:cs="Times New Roman"/>
          <w:sz w:val="24"/>
          <w:szCs w:val="24"/>
        </w:rPr>
        <w:t xml:space="preserve"> </w:t>
      </w:r>
    </w:p>
    <w:p w:rsidR="003737FF" w:rsidRPr="00623182" w:rsidRDefault="003737FF" w:rsidP="00F71E5F">
      <w:pPr>
        <w:spacing w:after="0" w:line="360" w:lineRule="auto"/>
        <w:ind w:firstLine="720"/>
        <w:jc w:val="both"/>
        <w:rPr>
          <w:rFonts w:ascii="Times New Roman" w:hAnsi="Times New Roman" w:cs="Times New Roman"/>
          <w:sz w:val="24"/>
          <w:szCs w:val="24"/>
        </w:rPr>
      </w:pPr>
      <w:r w:rsidRPr="00623182">
        <w:rPr>
          <w:rFonts w:ascii="Times New Roman" w:hAnsi="Times New Roman" w:cs="Times New Roman"/>
          <w:sz w:val="24"/>
          <w:szCs w:val="24"/>
        </w:rPr>
        <w:t xml:space="preserve">The provisions not paid in the particular tax year for CILL were </w:t>
      </w:r>
      <w:r w:rsidR="00691DDF" w:rsidRPr="00623182">
        <w:rPr>
          <w:rFonts w:ascii="Times New Roman" w:hAnsi="Times New Roman" w:cs="Times New Roman"/>
          <w:sz w:val="24"/>
          <w:szCs w:val="24"/>
        </w:rPr>
        <w:t>highlighted in exhibit 2, which was produced in evidence by the first witness called by the appellant, in</w:t>
      </w:r>
      <w:r w:rsidRPr="00623182">
        <w:rPr>
          <w:rFonts w:ascii="Times New Roman" w:hAnsi="Times New Roman" w:cs="Times New Roman"/>
          <w:sz w:val="24"/>
          <w:szCs w:val="24"/>
        </w:rPr>
        <w:t xml:space="preserve"> </w:t>
      </w:r>
      <w:r w:rsidR="00691DDF" w:rsidRPr="00623182">
        <w:rPr>
          <w:rFonts w:ascii="Times New Roman" w:hAnsi="Times New Roman" w:cs="Times New Roman"/>
          <w:sz w:val="24"/>
          <w:szCs w:val="24"/>
        </w:rPr>
        <w:t xml:space="preserve">the </w:t>
      </w:r>
      <w:r w:rsidRPr="00623182">
        <w:rPr>
          <w:rFonts w:ascii="Times New Roman" w:hAnsi="Times New Roman" w:cs="Times New Roman"/>
          <w:sz w:val="24"/>
          <w:szCs w:val="24"/>
        </w:rPr>
        <w:t>blue</w:t>
      </w:r>
      <w:r w:rsidR="00691DDF" w:rsidRPr="00623182">
        <w:rPr>
          <w:rFonts w:ascii="Times New Roman" w:hAnsi="Times New Roman" w:cs="Times New Roman"/>
          <w:sz w:val="24"/>
          <w:szCs w:val="24"/>
        </w:rPr>
        <w:t xml:space="preserve"> columns</w:t>
      </w:r>
      <w:r w:rsidR="004D5C49">
        <w:rPr>
          <w:rFonts w:ascii="Times New Roman" w:hAnsi="Times New Roman" w:cs="Times New Roman"/>
          <w:sz w:val="24"/>
          <w:szCs w:val="24"/>
        </w:rPr>
        <w:t>,</w:t>
      </w:r>
      <w:r w:rsidRPr="00623182">
        <w:rPr>
          <w:rFonts w:ascii="Times New Roman" w:hAnsi="Times New Roman" w:cs="Times New Roman"/>
          <w:sz w:val="24"/>
          <w:szCs w:val="24"/>
        </w:rPr>
        <w:t xml:space="preserve"> while the amounts actually paid were in white </w:t>
      </w:r>
      <w:r w:rsidR="00691DDF" w:rsidRPr="00623182">
        <w:rPr>
          <w:rFonts w:ascii="Times New Roman" w:hAnsi="Times New Roman" w:cs="Times New Roman"/>
          <w:sz w:val="24"/>
          <w:szCs w:val="24"/>
        </w:rPr>
        <w:t xml:space="preserve">columns.  </w:t>
      </w:r>
      <w:r w:rsidR="00F413E3">
        <w:rPr>
          <w:rFonts w:ascii="Times New Roman" w:hAnsi="Times New Roman" w:cs="Times New Roman"/>
          <w:sz w:val="24"/>
          <w:szCs w:val="24"/>
        </w:rPr>
        <w:t>The provisions</w:t>
      </w:r>
      <w:r w:rsidRPr="00623182">
        <w:rPr>
          <w:rFonts w:ascii="Times New Roman" w:hAnsi="Times New Roman" w:cs="Times New Roman"/>
          <w:sz w:val="24"/>
          <w:szCs w:val="24"/>
        </w:rPr>
        <w:t xml:space="preserve"> in blue against the actual figures in white were US$ 213 602.04 and US$ 40 459.40 in 2009, US$ 8 455.09 and US$ 28 641.23 in 2010, US$ 107 </w:t>
      </w:r>
      <w:r w:rsidR="001A2AD0" w:rsidRPr="00623182">
        <w:rPr>
          <w:rFonts w:ascii="Times New Roman" w:hAnsi="Times New Roman" w:cs="Times New Roman"/>
          <w:sz w:val="24"/>
          <w:szCs w:val="24"/>
        </w:rPr>
        <w:t>904.34 and</w:t>
      </w:r>
      <w:r w:rsidRPr="00623182">
        <w:rPr>
          <w:rFonts w:ascii="Times New Roman" w:hAnsi="Times New Roman" w:cs="Times New Roman"/>
          <w:sz w:val="24"/>
          <w:szCs w:val="24"/>
        </w:rPr>
        <w:t xml:space="preserve"> US$199 585.42 in 2011 and US$146 290.12 and US$198 685.04 in 2012, respectively.  </w:t>
      </w:r>
    </w:p>
    <w:p w:rsidR="00EB480F" w:rsidRPr="00623182" w:rsidRDefault="003035CB" w:rsidP="00F71E5F">
      <w:pPr>
        <w:spacing w:after="0" w:line="360" w:lineRule="auto"/>
        <w:ind w:firstLine="720"/>
        <w:jc w:val="both"/>
        <w:rPr>
          <w:rFonts w:ascii="Times New Roman" w:hAnsi="Times New Roman" w:cs="Times New Roman"/>
          <w:sz w:val="24"/>
          <w:szCs w:val="24"/>
        </w:rPr>
      </w:pPr>
      <w:r w:rsidRPr="00623182">
        <w:rPr>
          <w:rFonts w:ascii="Times New Roman" w:hAnsi="Times New Roman" w:cs="Times New Roman"/>
          <w:sz w:val="24"/>
          <w:szCs w:val="24"/>
        </w:rPr>
        <w:t xml:space="preserve">The three criteria that must be met before the employer incurs an unconditional obligation to pay are prescribed in clause 18 (3) and (5) of the </w:t>
      </w:r>
      <w:smartTag w:uri="urn:schemas-microsoft-com:office:smarttags" w:element="stockticker">
        <w:r w:rsidRPr="00623182">
          <w:rPr>
            <w:rFonts w:ascii="Times New Roman" w:hAnsi="Times New Roman" w:cs="Times New Roman"/>
            <w:sz w:val="24"/>
            <w:szCs w:val="24"/>
          </w:rPr>
          <w:t>CBA</w:t>
        </w:r>
      </w:smartTag>
      <w:r w:rsidRPr="00623182">
        <w:rPr>
          <w:rFonts w:ascii="Times New Roman" w:hAnsi="Times New Roman" w:cs="Times New Roman"/>
          <w:sz w:val="24"/>
          <w:szCs w:val="24"/>
        </w:rPr>
        <w:t xml:space="preserve">.  The first is </w:t>
      </w:r>
      <w:r w:rsidR="00691DDF" w:rsidRPr="00623182">
        <w:rPr>
          <w:rFonts w:ascii="Times New Roman" w:hAnsi="Times New Roman" w:cs="Times New Roman"/>
          <w:sz w:val="24"/>
          <w:szCs w:val="24"/>
        </w:rPr>
        <w:t xml:space="preserve">that </w:t>
      </w:r>
      <w:r w:rsidRPr="00623182">
        <w:rPr>
          <w:rFonts w:ascii="Times New Roman" w:hAnsi="Times New Roman" w:cs="Times New Roman"/>
          <w:sz w:val="24"/>
          <w:szCs w:val="24"/>
        </w:rPr>
        <w:t xml:space="preserve">all annual leave must be taken at the convenience of the employer on 14 </w:t>
      </w:r>
      <w:r w:rsidR="00D22C38" w:rsidRPr="00623182">
        <w:rPr>
          <w:rFonts w:ascii="Times New Roman" w:hAnsi="Times New Roman" w:cs="Times New Roman"/>
          <w:sz w:val="24"/>
          <w:szCs w:val="24"/>
        </w:rPr>
        <w:t>days’ notice</w:t>
      </w:r>
      <w:r w:rsidRPr="00623182">
        <w:rPr>
          <w:rFonts w:ascii="Times New Roman" w:hAnsi="Times New Roman" w:cs="Times New Roman"/>
          <w:sz w:val="24"/>
          <w:szCs w:val="24"/>
        </w:rPr>
        <w:t xml:space="preserve"> from the employee</w:t>
      </w:r>
      <w:r w:rsidR="00D22C38" w:rsidRPr="00623182">
        <w:rPr>
          <w:rFonts w:ascii="Times New Roman" w:hAnsi="Times New Roman" w:cs="Times New Roman"/>
          <w:sz w:val="24"/>
          <w:szCs w:val="24"/>
        </w:rPr>
        <w:t xml:space="preserve"> and the</w:t>
      </w:r>
      <w:r w:rsidR="00E27A01">
        <w:rPr>
          <w:rFonts w:ascii="Times New Roman" w:hAnsi="Times New Roman" w:cs="Times New Roman"/>
          <w:sz w:val="24"/>
          <w:szCs w:val="24"/>
        </w:rPr>
        <w:t xml:space="preserve"> second is that payment</w:t>
      </w:r>
      <w:r w:rsidR="00D22C38" w:rsidRPr="00623182">
        <w:rPr>
          <w:rFonts w:ascii="Times New Roman" w:hAnsi="Times New Roman" w:cs="Times New Roman"/>
          <w:sz w:val="24"/>
          <w:szCs w:val="24"/>
        </w:rPr>
        <w:t xml:space="preserve"> shall be paid before the employee proceeds on such leave. </w:t>
      </w:r>
      <w:r w:rsidRPr="00623182">
        <w:rPr>
          <w:rFonts w:ascii="Times New Roman" w:hAnsi="Times New Roman" w:cs="Times New Roman"/>
          <w:sz w:val="24"/>
          <w:szCs w:val="24"/>
        </w:rPr>
        <w:t xml:space="preserve"> The </w:t>
      </w:r>
      <w:r w:rsidR="00D22C38" w:rsidRPr="00623182">
        <w:rPr>
          <w:rFonts w:ascii="Times New Roman" w:hAnsi="Times New Roman" w:cs="Times New Roman"/>
          <w:sz w:val="24"/>
          <w:szCs w:val="24"/>
        </w:rPr>
        <w:t>third</w:t>
      </w:r>
      <w:r w:rsidR="00E27A01">
        <w:rPr>
          <w:rFonts w:ascii="Times New Roman" w:hAnsi="Times New Roman" w:cs="Times New Roman"/>
          <w:sz w:val="24"/>
          <w:szCs w:val="24"/>
        </w:rPr>
        <w:t>,</w:t>
      </w:r>
      <w:r w:rsidR="00D22C38" w:rsidRPr="00623182">
        <w:rPr>
          <w:rFonts w:ascii="Times New Roman" w:hAnsi="Times New Roman" w:cs="Times New Roman"/>
          <w:sz w:val="24"/>
          <w:szCs w:val="24"/>
        </w:rPr>
        <w:t xml:space="preserve"> is that all leave other</w:t>
      </w:r>
      <w:r w:rsidRPr="00623182">
        <w:rPr>
          <w:rFonts w:ascii="Times New Roman" w:hAnsi="Times New Roman" w:cs="Times New Roman"/>
          <w:sz w:val="24"/>
          <w:szCs w:val="24"/>
        </w:rPr>
        <w:t xml:space="preserve"> than sick leave </w:t>
      </w:r>
      <w:r w:rsidR="00D22C38" w:rsidRPr="00623182">
        <w:rPr>
          <w:rFonts w:ascii="Times New Roman" w:hAnsi="Times New Roman" w:cs="Times New Roman"/>
          <w:sz w:val="24"/>
          <w:szCs w:val="24"/>
        </w:rPr>
        <w:t xml:space="preserve">shall be paid at the time the leave is taken. The convenience of the employer entails the approval of the employer and is analogous </w:t>
      </w:r>
      <w:r w:rsidR="004008E0" w:rsidRPr="00623182">
        <w:rPr>
          <w:rFonts w:ascii="Times New Roman" w:hAnsi="Times New Roman" w:cs="Times New Roman"/>
          <w:sz w:val="24"/>
          <w:szCs w:val="24"/>
        </w:rPr>
        <w:t>to the sole discretion of management in</w:t>
      </w:r>
      <w:r w:rsidR="00D22C38" w:rsidRPr="00623182">
        <w:rPr>
          <w:rFonts w:ascii="Times New Roman" w:hAnsi="Times New Roman" w:cs="Times New Roman"/>
          <w:sz w:val="24"/>
          <w:szCs w:val="24"/>
        </w:rPr>
        <w:t xml:space="preserve"> cla</w:t>
      </w:r>
      <w:r w:rsidR="00691DDF" w:rsidRPr="00623182">
        <w:rPr>
          <w:rFonts w:ascii="Times New Roman" w:hAnsi="Times New Roman" w:cs="Times New Roman"/>
          <w:sz w:val="24"/>
          <w:szCs w:val="24"/>
        </w:rPr>
        <w:t xml:space="preserve">use 6.4 of the sample contract </w:t>
      </w:r>
      <w:r w:rsidR="00B05B6A" w:rsidRPr="00623182">
        <w:rPr>
          <w:rFonts w:ascii="Times New Roman" w:hAnsi="Times New Roman" w:cs="Times New Roman"/>
          <w:sz w:val="24"/>
          <w:szCs w:val="24"/>
        </w:rPr>
        <w:t xml:space="preserve">dated 11 </w:t>
      </w:r>
      <w:r w:rsidR="00B05B6A" w:rsidRPr="00623182">
        <w:rPr>
          <w:rFonts w:ascii="Times New Roman" w:hAnsi="Times New Roman" w:cs="Times New Roman"/>
          <w:sz w:val="24"/>
          <w:szCs w:val="24"/>
        </w:rPr>
        <w:lastRenderedPageBreak/>
        <w:t xml:space="preserve">November 2015 </w:t>
      </w:r>
      <w:r w:rsidR="004008E0" w:rsidRPr="00623182">
        <w:rPr>
          <w:rFonts w:ascii="Times New Roman" w:hAnsi="Times New Roman" w:cs="Times New Roman"/>
          <w:sz w:val="24"/>
          <w:szCs w:val="24"/>
        </w:rPr>
        <w:t>but commencing on 4 August 2012</w:t>
      </w:r>
      <w:r w:rsidR="000D51F0" w:rsidRPr="00623182">
        <w:rPr>
          <w:rStyle w:val="FootnoteReference"/>
          <w:rFonts w:ascii="Times New Roman" w:hAnsi="Times New Roman" w:cs="Times New Roman"/>
          <w:sz w:val="24"/>
          <w:szCs w:val="24"/>
        </w:rPr>
        <w:footnoteReference w:id="4"/>
      </w:r>
      <w:r w:rsidR="004008E0" w:rsidRPr="00623182">
        <w:rPr>
          <w:rFonts w:ascii="Times New Roman" w:hAnsi="Times New Roman" w:cs="Times New Roman"/>
          <w:sz w:val="24"/>
          <w:szCs w:val="24"/>
        </w:rPr>
        <w:t xml:space="preserve">, which was </w:t>
      </w:r>
      <w:r w:rsidR="00691DDF" w:rsidRPr="00623182">
        <w:rPr>
          <w:rFonts w:ascii="Times New Roman" w:hAnsi="Times New Roman" w:cs="Times New Roman"/>
          <w:sz w:val="24"/>
          <w:szCs w:val="24"/>
        </w:rPr>
        <w:t>attached to</w:t>
      </w:r>
      <w:r w:rsidR="00D22C38" w:rsidRPr="00623182">
        <w:rPr>
          <w:rFonts w:ascii="Times New Roman" w:hAnsi="Times New Roman" w:cs="Times New Roman"/>
          <w:sz w:val="24"/>
          <w:szCs w:val="24"/>
        </w:rPr>
        <w:t xml:space="preserve"> the appellant</w:t>
      </w:r>
      <w:r w:rsidR="004008E0" w:rsidRPr="00623182">
        <w:rPr>
          <w:rFonts w:ascii="Times New Roman" w:hAnsi="Times New Roman" w:cs="Times New Roman"/>
          <w:sz w:val="24"/>
          <w:szCs w:val="24"/>
        </w:rPr>
        <w:t>’s case</w:t>
      </w:r>
      <w:r w:rsidR="00D22C38" w:rsidRPr="00623182">
        <w:rPr>
          <w:rFonts w:ascii="Times New Roman" w:hAnsi="Times New Roman" w:cs="Times New Roman"/>
          <w:sz w:val="24"/>
          <w:szCs w:val="24"/>
        </w:rPr>
        <w:t xml:space="preserve">.  These three criteria must take place contemporaneously with the leave. The setting aside of payments for use in the future as was done by the appellant in respect of cash </w:t>
      </w:r>
      <w:r w:rsidR="00D22C38" w:rsidRPr="007E19CF">
        <w:rPr>
          <w:rFonts w:ascii="Times New Roman" w:hAnsi="Times New Roman" w:cs="Times New Roman"/>
          <w:i/>
          <w:sz w:val="24"/>
          <w:szCs w:val="24"/>
        </w:rPr>
        <w:t>in lieu</w:t>
      </w:r>
      <w:r w:rsidR="00D22C38" w:rsidRPr="00623182">
        <w:rPr>
          <w:rFonts w:ascii="Times New Roman" w:hAnsi="Times New Roman" w:cs="Times New Roman"/>
          <w:sz w:val="24"/>
          <w:szCs w:val="24"/>
        </w:rPr>
        <w:t xml:space="preserve"> of leave constituted a provision</w:t>
      </w:r>
      <w:r w:rsidR="00395509" w:rsidRPr="00623182">
        <w:rPr>
          <w:rFonts w:ascii="Times New Roman" w:hAnsi="Times New Roman" w:cs="Times New Roman"/>
          <w:sz w:val="24"/>
          <w:szCs w:val="24"/>
        </w:rPr>
        <w:t>.</w:t>
      </w:r>
      <w:r w:rsidR="00806F41" w:rsidRPr="00623182">
        <w:rPr>
          <w:rFonts w:ascii="Times New Roman" w:hAnsi="Times New Roman" w:cs="Times New Roman"/>
          <w:sz w:val="24"/>
          <w:szCs w:val="24"/>
        </w:rPr>
        <w:t xml:space="preserve"> The amounts in white appear to be the only amounts that were paid contemporaneously with the taking of leave or its encashment.  For the appellant to have incurred the amounts in </w:t>
      </w:r>
      <w:r w:rsidR="00691DDF" w:rsidRPr="00623182">
        <w:rPr>
          <w:rFonts w:ascii="Times New Roman" w:hAnsi="Times New Roman" w:cs="Times New Roman"/>
          <w:sz w:val="24"/>
          <w:szCs w:val="24"/>
        </w:rPr>
        <w:t xml:space="preserve">the </w:t>
      </w:r>
      <w:r w:rsidR="00806F41" w:rsidRPr="00623182">
        <w:rPr>
          <w:rFonts w:ascii="Times New Roman" w:hAnsi="Times New Roman" w:cs="Times New Roman"/>
          <w:sz w:val="24"/>
          <w:szCs w:val="24"/>
        </w:rPr>
        <w:t>blue columns in the particular tax years in which the deductions were claimed, the actual leave or encashment should have taken place</w:t>
      </w:r>
      <w:r w:rsidRPr="00623182">
        <w:rPr>
          <w:rFonts w:ascii="Times New Roman" w:hAnsi="Times New Roman" w:cs="Times New Roman"/>
          <w:sz w:val="24"/>
          <w:szCs w:val="24"/>
        </w:rPr>
        <w:t xml:space="preserve"> in that particular year. </w:t>
      </w:r>
      <w:r w:rsidR="000D51F0" w:rsidRPr="00623182">
        <w:rPr>
          <w:rFonts w:ascii="Times New Roman" w:hAnsi="Times New Roman" w:cs="Times New Roman"/>
          <w:sz w:val="24"/>
          <w:szCs w:val="24"/>
        </w:rPr>
        <w:t>A</w:t>
      </w:r>
      <w:r w:rsidR="00E347E5" w:rsidRPr="00623182">
        <w:rPr>
          <w:rFonts w:ascii="Times New Roman" w:hAnsi="Times New Roman" w:cs="Times New Roman"/>
          <w:sz w:val="24"/>
          <w:szCs w:val="24"/>
        </w:rPr>
        <w:t xml:space="preserve">gain, clause 5 </w:t>
      </w:r>
      <w:r w:rsidR="000D51F0" w:rsidRPr="00623182">
        <w:rPr>
          <w:rFonts w:ascii="Times New Roman" w:hAnsi="Times New Roman" w:cs="Times New Roman"/>
          <w:sz w:val="24"/>
          <w:szCs w:val="24"/>
        </w:rPr>
        <w:t xml:space="preserve">of the contract of employment of 4 August </w:t>
      </w:r>
      <w:smartTag w:uri="urn:schemas-microsoft-com:office:smarttags" w:element="metricconverter">
        <w:smartTagPr>
          <w:attr w:name="ProductID" w:val="2012 in"/>
        </w:smartTagPr>
        <w:r w:rsidR="000D51F0" w:rsidRPr="00623182">
          <w:rPr>
            <w:rFonts w:ascii="Times New Roman" w:hAnsi="Times New Roman" w:cs="Times New Roman"/>
            <w:sz w:val="24"/>
            <w:szCs w:val="24"/>
          </w:rPr>
          <w:t xml:space="preserve">2012 </w:t>
        </w:r>
        <w:r w:rsidR="00E347E5" w:rsidRPr="00623182">
          <w:rPr>
            <w:rFonts w:ascii="Times New Roman" w:hAnsi="Times New Roman" w:cs="Times New Roman"/>
            <w:sz w:val="24"/>
            <w:szCs w:val="24"/>
          </w:rPr>
          <w:t>in</w:t>
        </w:r>
      </w:smartTag>
      <w:r w:rsidR="00E347E5" w:rsidRPr="00623182">
        <w:rPr>
          <w:rFonts w:ascii="Times New Roman" w:hAnsi="Times New Roman" w:cs="Times New Roman"/>
          <w:sz w:val="24"/>
          <w:szCs w:val="24"/>
        </w:rPr>
        <w:t xml:space="preserve"> the appellant’s case prescribes the accumulation of leave to a maximum of 90 days.  This clause together with the three criteria underpins the employer’s convenience and constitutes conditions which eschew the claimed deductions. </w:t>
      </w:r>
      <w:r w:rsidR="00EB480F" w:rsidRPr="00623182">
        <w:rPr>
          <w:rFonts w:ascii="Times New Roman" w:hAnsi="Times New Roman" w:cs="Times New Roman"/>
          <w:sz w:val="24"/>
          <w:szCs w:val="24"/>
        </w:rPr>
        <w:t xml:space="preserve"> </w:t>
      </w:r>
    </w:p>
    <w:p w:rsidR="00E347E5" w:rsidRPr="00623182" w:rsidRDefault="00EB480F" w:rsidP="00F71E5F">
      <w:pPr>
        <w:spacing w:after="0" w:line="360" w:lineRule="auto"/>
        <w:ind w:firstLine="720"/>
        <w:jc w:val="both"/>
        <w:rPr>
          <w:rFonts w:ascii="Times New Roman" w:hAnsi="Times New Roman" w:cs="Times New Roman"/>
          <w:sz w:val="24"/>
          <w:szCs w:val="24"/>
        </w:rPr>
      </w:pPr>
      <w:r w:rsidRPr="00623182">
        <w:rPr>
          <w:rFonts w:ascii="Times New Roman" w:hAnsi="Times New Roman" w:cs="Times New Roman"/>
          <w:sz w:val="24"/>
          <w:szCs w:val="24"/>
        </w:rPr>
        <w:t xml:space="preserve">Again, in regards to cash </w:t>
      </w:r>
      <w:r w:rsidRPr="007E19CF">
        <w:rPr>
          <w:rFonts w:ascii="Times New Roman" w:hAnsi="Times New Roman" w:cs="Times New Roman"/>
          <w:i/>
          <w:sz w:val="24"/>
          <w:szCs w:val="24"/>
        </w:rPr>
        <w:t>in lieu</w:t>
      </w:r>
      <w:r w:rsidRPr="00623182">
        <w:rPr>
          <w:rFonts w:ascii="Times New Roman" w:hAnsi="Times New Roman" w:cs="Times New Roman"/>
          <w:sz w:val="24"/>
          <w:szCs w:val="24"/>
        </w:rPr>
        <w:t xml:space="preserve"> of leave on termination under clause 18 (8</w:t>
      </w:r>
      <w:r w:rsidR="006A2F4A" w:rsidRPr="00623182">
        <w:rPr>
          <w:rFonts w:ascii="Times New Roman" w:hAnsi="Times New Roman" w:cs="Times New Roman"/>
          <w:sz w:val="24"/>
          <w:szCs w:val="24"/>
        </w:rPr>
        <w:t>),</w:t>
      </w:r>
      <w:r w:rsidRPr="00623182">
        <w:rPr>
          <w:rFonts w:ascii="Times New Roman" w:hAnsi="Times New Roman" w:cs="Times New Roman"/>
          <w:sz w:val="24"/>
          <w:szCs w:val="24"/>
        </w:rPr>
        <w:t xml:space="preserve"> it is clear to me that the unconditional obligation to pay takes place on termination and not at any time prior to the termination. The statutorily prescribed date on which the unconditional obligation to pay takes place is the date of termination and not, as submitted by M</w:t>
      </w:r>
      <w:r w:rsidR="006A2F4A" w:rsidRPr="00623182">
        <w:rPr>
          <w:rFonts w:ascii="Times New Roman" w:hAnsi="Times New Roman" w:cs="Times New Roman"/>
          <w:sz w:val="24"/>
          <w:szCs w:val="24"/>
        </w:rPr>
        <w:t xml:space="preserve">r </w:t>
      </w:r>
      <w:r w:rsidR="006A2F4A" w:rsidRPr="00623182">
        <w:rPr>
          <w:rFonts w:ascii="Times New Roman" w:hAnsi="Times New Roman" w:cs="Times New Roman"/>
          <w:i/>
          <w:sz w:val="24"/>
          <w:szCs w:val="24"/>
        </w:rPr>
        <w:t>de Bourbon</w:t>
      </w:r>
      <w:r w:rsidR="006A2F4A" w:rsidRPr="00623182">
        <w:rPr>
          <w:rFonts w:ascii="Times New Roman" w:hAnsi="Times New Roman" w:cs="Times New Roman"/>
          <w:sz w:val="24"/>
          <w:szCs w:val="24"/>
        </w:rPr>
        <w:t>, on the 6 month anniversary of the</w:t>
      </w:r>
      <w:r w:rsidR="006205CA">
        <w:rPr>
          <w:rFonts w:ascii="Times New Roman" w:hAnsi="Times New Roman" w:cs="Times New Roman"/>
          <w:sz w:val="24"/>
          <w:szCs w:val="24"/>
        </w:rPr>
        <w:t xml:space="preserve"> contract of employment</w:t>
      </w:r>
      <w:r w:rsidR="006A2F4A" w:rsidRPr="00623182">
        <w:rPr>
          <w:rFonts w:ascii="Times New Roman" w:hAnsi="Times New Roman" w:cs="Times New Roman"/>
          <w:sz w:val="24"/>
          <w:szCs w:val="24"/>
        </w:rPr>
        <w:t xml:space="preserve">. </w:t>
      </w:r>
      <w:r w:rsidR="00EE4530" w:rsidRPr="00623182">
        <w:rPr>
          <w:rFonts w:ascii="Times New Roman" w:hAnsi="Times New Roman" w:cs="Times New Roman"/>
          <w:sz w:val="24"/>
          <w:szCs w:val="24"/>
        </w:rPr>
        <w:t>In any event, the two witness</w:t>
      </w:r>
      <w:r w:rsidR="001A5C53" w:rsidRPr="00623182">
        <w:rPr>
          <w:rFonts w:ascii="Times New Roman" w:hAnsi="Times New Roman" w:cs="Times New Roman"/>
          <w:sz w:val="24"/>
          <w:szCs w:val="24"/>
        </w:rPr>
        <w:t>es</w:t>
      </w:r>
      <w:r w:rsidR="00EE4530" w:rsidRPr="00623182">
        <w:rPr>
          <w:rFonts w:ascii="Times New Roman" w:hAnsi="Times New Roman" w:cs="Times New Roman"/>
          <w:sz w:val="24"/>
          <w:szCs w:val="24"/>
        </w:rPr>
        <w:t xml:space="preserve"> called by the appellant did not lead any evidence pertaining to the number of employees whose contracts terminated on or prior to the financial year end who would have met the unconditional obligation to payment statutorily prescribed in clause 18 (8). </w:t>
      </w:r>
    </w:p>
    <w:p w:rsidR="009D045F" w:rsidRPr="00D27AAD" w:rsidRDefault="009D045F" w:rsidP="00F71E5F">
      <w:pPr>
        <w:spacing w:after="0" w:line="360" w:lineRule="auto"/>
        <w:jc w:val="both"/>
        <w:rPr>
          <w:rFonts w:ascii="Times New Roman" w:hAnsi="Times New Roman" w:cs="Times New Roman"/>
          <w:i/>
          <w:sz w:val="24"/>
          <w:szCs w:val="24"/>
        </w:rPr>
      </w:pPr>
      <w:r w:rsidRPr="00D27AAD">
        <w:rPr>
          <w:rFonts w:ascii="Times New Roman" w:hAnsi="Times New Roman" w:cs="Times New Roman"/>
          <w:i/>
          <w:sz w:val="24"/>
          <w:szCs w:val="24"/>
        </w:rPr>
        <w:t>Bonuses</w:t>
      </w:r>
    </w:p>
    <w:p w:rsidR="008479BF" w:rsidRPr="00623182" w:rsidRDefault="00243793" w:rsidP="00F71E5F">
      <w:pPr>
        <w:spacing w:after="0" w:line="360" w:lineRule="auto"/>
        <w:ind w:firstLine="720"/>
        <w:jc w:val="both"/>
        <w:rPr>
          <w:rFonts w:ascii="Times New Roman" w:hAnsi="Times New Roman" w:cs="Times New Roman"/>
          <w:sz w:val="24"/>
          <w:szCs w:val="24"/>
        </w:rPr>
      </w:pPr>
      <w:r w:rsidRPr="00623182">
        <w:rPr>
          <w:rFonts w:ascii="Times New Roman" w:hAnsi="Times New Roman" w:cs="Times New Roman"/>
          <w:sz w:val="24"/>
          <w:szCs w:val="24"/>
        </w:rPr>
        <w:t>The first witness called by the appellant</w:t>
      </w:r>
      <w:r w:rsidR="004C33DE" w:rsidRPr="00623182">
        <w:rPr>
          <w:rFonts w:ascii="Times New Roman" w:hAnsi="Times New Roman" w:cs="Times New Roman"/>
          <w:sz w:val="24"/>
          <w:szCs w:val="24"/>
        </w:rPr>
        <w:t>, who was its administrator and company secretary</w:t>
      </w:r>
      <w:r w:rsidR="006C1794" w:rsidRPr="00623182">
        <w:rPr>
          <w:rFonts w:ascii="Times New Roman" w:hAnsi="Times New Roman" w:cs="Times New Roman"/>
          <w:sz w:val="24"/>
          <w:szCs w:val="24"/>
        </w:rPr>
        <w:t>,</w:t>
      </w:r>
      <w:r w:rsidR="009D045F" w:rsidRPr="00623182">
        <w:rPr>
          <w:rFonts w:ascii="Times New Roman" w:hAnsi="Times New Roman" w:cs="Times New Roman"/>
          <w:sz w:val="24"/>
          <w:szCs w:val="24"/>
        </w:rPr>
        <w:t xml:space="preserve"> identified six types of bonuses</w:t>
      </w:r>
      <w:r w:rsidR="006C1794" w:rsidRPr="00623182">
        <w:rPr>
          <w:rFonts w:ascii="Times New Roman" w:hAnsi="Times New Roman" w:cs="Times New Roman"/>
          <w:sz w:val="24"/>
          <w:szCs w:val="24"/>
        </w:rPr>
        <w:t xml:space="preserve"> to which the appellant’s employees were entitled to</w:t>
      </w:r>
      <w:r w:rsidR="009D045F" w:rsidRPr="00623182">
        <w:rPr>
          <w:rFonts w:ascii="Times New Roman" w:hAnsi="Times New Roman" w:cs="Times New Roman"/>
          <w:sz w:val="24"/>
          <w:szCs w:val="24"/>
        </w:rPr>
        <w:t>. These were the incentive bonus, the production target bonus, the maintenance and safety bonus, the leave pay bonus and the 13</w:t>
      </w:r>
      <w:r w:rsidR="009D045F" w:rsidRPr="00623182">
        <w:rPr>
          <w:rFonts w:ascii="Times New Roman" w:hAnsi="Times New Roman" w:cs="Times New Roman"/>
          <w:sz w:val="24"/>
          <w:szCs w:val="24"/>
          <w:vertAlign w:val="superscript"/>
        </w:rPr>
        <w:t>th</w:t>
      </w:r>
      <w:r w:rsidR="009D045F" w:rsidRPr="00623182">
        <w:rPr>
          <w:rFonts w:ascii="Times New Roman" w:hAnsi="Times New Roman" w:cs="Times New Roman"/>
          <w:sz w:val="24"/>
          <w:szCs w:val="24"/>
        </w:rPr>
        <w:t xml:space="preserve"> cheque bonus. </w:t>
      </w:r>
      <w:r w:rsidR="00BA208C" w:rsidRPr="00623182">
        <w:rPr>
          <w:rFonts w:ascii="Times New Roman" w:hAnsi="Times New Roman" w:cs="Times New Roman"/>
          <w:sz w:val="24"/>
          <w:szCs w:val="24"/>
        </w:rPr>
        <w:t xml:space="preserve"> </w:t>
      </w:r>
      <w:r w:rsidR="008479BF" w:rsidRPr="00623182">
        <w:rPr>
          <w:rFonts w:ascii="Times New Roman" w:hAnsi="Times New Roman" w:cs="Times New Roman"/>
          <w:sz w:val="24"/>
          <w:szCs w:val="24"/>
        </w:rPr>
        <w:t>She produced exhibit 2, which enumerated in white columns the amounts of bonuses actual paid during the tax years in question and in blue columns the amounts payable in the following tax year. The amounts in blue and white were US$ 401 527.44 and US$ 71 484.50 in 2009, US$ 151 710.55 and US$277 361.05 in 2010, US$ 243 017.78 and US$691 434.88 in 2011 and US$ 216 438.50 and US$876 235.06 in 2012, respectively.</w:t>
      </w:r>
    </w:p>
    <w:p w:rsidR="009D045F" w:rsidRPr="00623182" w:rsidRDefault="00895E6C" w:rsidP="00F71E5F">
      <w:pPr>
        <w:spacing w:line="360" w:lineRule="auto"/>
        <w:ind w:firstLine="720"/>
        <w:jc w:val="both"/>
        <w:rPr>
          <w:rFonts w:ascii="Times New Roman" w:hAnsi="Times New Roman" w:cs="Times New Roman"/>
          <w:sz w:val="24"/>
          <w:szCs w:val="24"/>
        </w:rPr>
      </w:pPr>
      <w:r w:rsidRPr="00623182">
        <w:rPr>
          <w:rFonts w:ascii="Times New Roman" w:hAnsi="Times New Roman" w:cs="Times New Roman"/>
          <w:sz w:val="24"/>
          <w:szCs w:val="24"/>
        </w:rPr>
        <w:t xml:space="preserve">She conceded under cross examination that the various bonuses were not in writing  nor were copies of such schemes provided to the employees affected by them as required by </w:t>
      </w:r>
      <w:r w:rsidRPr="00623182">
        <w:rPr>
          <w:rFonts w:ascii="Times New Roman" w:hAnsi="Times New Roman" w:cs="Times New Roman"/>
          <w:sz w:val="24"/>
          <w:szCs w:val="24"/>
        </w:rPr>
        <w:lastRenderedPageBreak/>
        <w:t xml:space="preserve">clause 19 (7) of the CBA.  </w:t>
      </w:r>
      <w:r w:rsidR="00BA208C" w:rsidRPr="00623182">
        <w:rPr>
          <w:rFonts w:ascii="Times New Roman" w:hAnsi="Times New Roman" w:cs="Times New Roman"/>
          <w:sz w:val="24"/>
          <w:szCs w:val="24"/>
        </w:rPr>
        <w:t>Al</w:t>
      </w:r>
      <w:r w:rsidR="003D57FB" w:rsidRPr="00623182">
        <w:rPr>
          <w:rFonts w:ascii="Times New Roman" w:hAnsi="Times New Roman" w:cs="Times New Roman"/>
          <w:sz w:val="24"/>
          <w:szCs w:val="24"/>
        </w:rPr>
        <w:t>l</w:t>
      </w:r>
      <w:r w:rsidR="00E124BF">
        <w:rPr>
          <w:rFonts w:ascii="Times New Roman" w:hAnsi="Times New Roman" w:cs="Times New Roman"/>
          <w:sz w:val="24"/>
          <w:szCs w:val="24"/>
        </w:rPr>
        <w:t xml:space="preserve"> she could say was that bonuses</w:t>
      </w:r>
      <w:r w:rsidR="00BA208C" w:rsidRPr="00623182">
        <w:rPr>
          <w:rFonts w:ascii="Times New Roman" w:hAnsi="Times New Roman" w:cs="Times New Roman"/>
          <w:sz w:val="24"/>
          <w:szCs w:val="24"/>
        </w:rPr>
        <w:t xml:space="preserve"> were fi</w:t>
      </w:r>
      <w:r w:rsidR="00243793" w:rsidRPr="00623182">
        <w:rPr>
          <w:rFonts w:ascii="Times New Roman" w:hAnsi="Times New Roman" w:cs="Times New Roman"/>
          <w:sz w:val="24"/>
          <w:szCs w:val="24"/>
        </w:rPr>
        <w:t>xed in the year of assessment b</w:t>
      </w:r>
      <w:r w:rsidR="00BA208C" w:rsidRPr="00623182">
        <w:rPr>
          <w:rFonts w:ascii="Times New Roman" w:hAnsi="Times New Roman" w:cs="Times New Roman"/>
          <w:sz w:val="24"/>
          <w:szCs w:val="24"/>
        </w:rPr>
        <w:t>ut paid in the following year.</w:t>
      </w:r>
      <w:r w:rsidR="003D57FB" w:rsidRPr="00623182">
        <w:rPr>
          <w:rFonts w:ascii="Times New Roman" w:hAnsi="Times New Roman" w:cs="Times New Roman"/>
          <w:sz w:val="24"/>
          <w:szCs w:val="24"/>
        </w:rPr>
        <w:t xml:space="preserve"> Critically, Mr</w:t>
      </w:r>
      <w:r w:rsidR="009C4D50" w:rsidRPr="00623182">
        <w:rPr>
          <w:rFonts w:ascii="Times New Roman" w:hAnsi="Times New Roman" w:cs="Times New Roman"/>
          <w:sz w:val="24"/>
          <w:szCs w:val="24"/>
        </w:rPr>
        <w:t xml:space="preserve"> </w:t>
      </w:r>
      <w:r w:rsidR="009C4D50" w:rsidRPr="00623182">
        <w:rPr>
          <w:rFonts w:ascii="Times New Roman" w:hAnsi="Times New Roman" w:cs="Times New Roman"/>
          <w:i/>
          <w:sz w:val="24"/>
          <w:szCs w:val="24"/>
        </w:rPr>
        <w:t>de Bourbon</w:t>
      </w:r>
      <w:r w:rsidR="009C4D50" w:rsidRPr="00623182">
        <w:rPr>
          <w:rFonts w:ascii="Times New Roman" w:hAnsi="Times New Roman" w:cs="Times New Roman"/>
          <w:sz w:val="24"/>
          <w:szCs w:val="24"/>
        </w:rPr>
        <w:t xml:space="preserve"> led her thus in examination in c</w:t>
      </w:r>
      <w:r w:rsidR="00244946">
        <w:rPr>
          <w:rFonts w:ascii="Times New Roman" w:hAnsi="Times New Roman" w:cs="Times New Roman"/>
          <w:sz w:val="24"/>
          <w:szCs w:val="24"/>
        </w:rPr>
        <w:t>hief:</w:t>
      </w:r>
    </w:p>
    <w:p w:rsidR="000C1698" w:rsidRPr="00F71E5F" w:rsidRDefault="000C1698" w:rsidP="00F71E5F">
      <w:pPr>
        <w:spacing w:after="0" w:line="360" w:lineRule="auto"/>
        <w:ind w:left="720"/>
        <w:jc w:val="both"/>
        <w:rPr>
          <w:rFonts w:ascii="Times New Roman" w:hAnsi="Times New Roman" w:cs="Times New Roman"/>
        </w:rPr>
      </w:pPr>
      <w:r w:rsidRPr="00F71E5F">
        <w:rPr>
          <w:rFonts w:ascii="Times New Roman" w:hAnsi="Times New Roman" w:cs="Times New Roman"/>
        </w:rPr>
        <w:t>“</w:t>
      </w:r>
      <w:r w:rsidR="009C4D50" w:rsidRPr="00F71E5F">
        <w:rPr>
          <w:rFonts w:ascii="Times New Roman" w:hAnsi="Times New Roman" w:cs="Times New Roman"/>
        </w:rPr>
        <w:t xml:space="preserve">Q. </w:t>
      </w:r>
      <w:r w:rsidRPr="00F71E5F">
        <w:rPr>
          <w:rFonts w:ascii="Times New Roman" w:hAnsi="Times New Roman" w:cs="Times New Roman"/>
        </w:rPr>
        <w:t xml:space="preserve">And therefore you also </w:t>
      </w:r>
      <w:r w:rsidRPr="003D4CC1">
        <w:rPr>
          <w:rFonts w:ascii="Times New Roman" w:hAnsi="Times New Roman" w:cs="Times New Roman"/>
          <w:u w:val="single"/>
        </w:rPr>
        <w:t>make provision</w:t>
      </w:r>
      <w:r w:rsidRPr="00F71E5F">
        <w:rPr>
          <w:rFonts w:ascii="Times New Roman" w:hAnsi="Times New Roman" w:cs="Times New Roman"/>
        </w:rPr>
        <w:t xml:space="preserve"> for the amount of that bonus even though it might only be paid after 30 September</w:t>
      </w:r>
      <w:r w:rsidRPr="00F71E5F">
        <w:rPr>
          <w:rFonts w:ascii="Times New Roman" w:hAnsi="Times New Roman" w:cs="Times New Roman"/>
        </w:rPr>
        <w:tab/>
      </w:r>
      <w:r w:rsidRPr="00F71E5F">
        <w:rPr>
          <w:rFonts w:ascii="Times New Roman" w:hAnsi="Times New Roman" w:cs="Times New Roman"/>
        </w:rPr>
        <w:tab/>
        <w:t xml:space="preserve">A. Yes, in 2009 the </w:t>
      </w:r>
      <w:r w:rsidRPr="00F71E5F">
        <w:rPr>
          <w:rFonts w:ascii="Times New Roman" w:hAnsi="Times New Roman" w:cs="Times New Roman"/>
          <w:u w:val="single"/>
        </w:rPr>
        <w:t>provision</w:t>
      </w:r>
      <w:r w:rsidRPr="00F71E5F">
        <w:rPr>
          <w:rFonts w:ascii="Times New Roman" w:hAnsi="Times New Roman" w:cs="Times New Roman"/>
        </w:rPr>
        <w:t xml:space="preserve"> was made based on historical occurrences “</w:t>
      </w:r>
    </w:p>
    <w:p w:rsidR="00895E6C" w:rsidRPr="00623182" w:rsidRDefault="00C80B29" w:rsidP="00F71E5F">
      <w:pPr>
        <w:spacing w:after="0" w:line="360" w:lineRule="auto"/>
        <w:ind w:firstLine="720"/>
        <w:jc w:val="both"/>
        <w:rPr>
          <w:rFonts w:ascii="Times New Roman" w:hAnsi="Times New Roman" w:cs="Times New Roman"/>
          <w:sz w:val="24"/>
          <w:szCs w:val="24"/>
        </w:rPr>
      </w:pPr>
      <w:r w:rsidRPr="00623182">
        <w:rPr>
          <w:rFonts w:ascii="Times New Roman" w:hAnsi="Times New Roman" w:cs="Times New Roman"/>
          <w:sz w:val="24"/>
          <w:szCs w:val="24"/>
        </w:rPr>
        <w:t xml:space="preserve">This is one of the many instances in which counsel and the witnesses treated the deductions as provisions. </w:t>
      </w:r>
      <w:r w:rsidR="00895E6C" w:rsidRPr="00623182">
        <w:rPr>
          <w:rFonts w:ascii="Times New Roman" w:hAnsi="Times New Roman" w:cs="Times New Roman"/>
          <w:sz w:val="24"/>
          <w:szCs w:val="24"/>
        </w:rPr>
        <w:t>The statutory period within wh</w:t>
      </w:r>
      <w:r w:rsidR="00FB48CD" w:rsidRPr="00623182">
        <w:rPr>
          <w:rFonts w:ascii="Times New Roman" w:hAnsi="Times New Roman" w:cs="Times New Roman"/>
          <w:sz w:val="24"/>
          <w:szCs w:val="24"/>
        </w:rPr>
        <w:t>ich all</w:t>
      </w:r>
      <w:r w:rsidR="00895E6C" w:rsidRPr="00623182">
        <w:rPr>
          <w:rFonts w:ascii="Times New Roman" w:hAnsi="Times New Roman" w:cs="Times New Roman"/>
          <w:sz w:val="24"/>
          <w:szCs w:val="24"/>
        </w:rPr>
        <w:t xml:space="preserve"> bonuses </w:t>
      </w:r>
      <w:r w:rsidR="00FB48CD" w:rsidRPr="00623182">
        <w:rPr>
          <w:rFonts w:ascii="Times New Roman" w:hAnsi="Times New Roman" w:cs="Times New Roman"/>
          <w:sz w:val="24"/>
          <w:szCs w:val="24"/>
        </w:rPr>
        <w:t>must be paid</w:t>
      </w:r>
      <w:r w:rsidR="00895E6C" w:rsidRPr="00623182">
        <w:rPr>
          <w:rFonts w:ascii="Times New Roman" w:hAnsi="Times New Roman" w:cs="Times New Roman"/>
          <w:sz w:val="24"/>
          <w:szCs w:val="24"/>
        </w:rPr>
        <w:t xml:space="preserve"> is prescribed in clause 19 (5) (a</w:t>
      </w:r>
      <w:r w:rsidR="00E865A7" w:rsidRPr="00623182">
        <w:rPr>
          <w:rFonts w:ascii="Times New Roman" w:hAnsi="Times New Roman" w:cs="Times New Roman"/>
          <w:sz w:val="24"/>
          <w:szCs w:val="24"/>
        </w:rPr>
        <w:t>) (</w:t>
      </w:r>
      <w:r w:rsidR="00895E6C" w:rsidRPr="00623182">
        <w:rPr>
          <w:rFonts w:ascii="Times New Roman" w:hAnsi="Times New Roman" w:cs="Times New Roman"/>
          <w:sz w:val="24"/>
          <w:szCs w:val="24"/>
        </w:rPr>
        <w:t>iii) of the CBA. It states that:</w:t>
      </w:r>
    </w:p>
    <w:p w:rsidR="00895E6C" w:rsidRPr="00F71E5F" w:rsidRDefault="00895E6C" w:rsidP="00F71E5F">
      <w:pPr>
        <w:spacing w:after="0" w:line="240" w:lineRule="auto"/>
        <w:jc w:val="both"/>
        <w:rPr>
          <w:rFonts w:ascii="Times New Roman" w:hAnsi="Times New Roman" w:cs="Times New Roman"/>
        </w:rPr>
      </w:pPr>
      <w:r w:rsidRPr="00623182">
        <w:rPr>
          <w:rFonts w:ascii="Times New Roman" w:hAnsi="Times New Roman" w:cs="Times New Roman"/>
          <w:sz w:val="24"/>
          <w:szCs w:val="24"/>
        </w:rPr>
        <w:tab/>
      </w:r>
      <w:r w:rsidRPr="00F71E5F">
        <w:rPr>
          <w:rFonts w:ascii="Times New Roman" w:hAnsi="Times New Roman" w:cs="Times New Roman"/>
        </w:rPr>
        <w:t>“</w:t>
      </w:r>
      <w:r w:rsidR="00E865A7" w:rsidRPr="00F71E5F">
        <w:rPr>
          <w:rFonts w:ascii="Times New Roman" w:hAnsi="Times New Roman" w:cs="Times New Roman"/>
        </w:rPr>
        <w:t>(a)</w:t>
      </w:r>
      <w:r w:rsidR="00E865A7" w:rsidRPr="00F71E5F">
        <w:rPr>
          <w:rFonts w:ascii="Times New Roman" w:hAnsi="Times New Roman" w:cs="Times New Roman"/>
        </w:rPr>
        <w:tab/>
      </w:r>
      <w:r w:rsidR="00FB48CD" w:rsidRPr="00F71E5F">
        <w:rPr>
          <w:rFonts w:ascii="Times New Roman" w:hAnsi="Times New Roman" w:cs="Times New Roman"/>
        </w:rPr>
        <w:t>E</w:t>
      </w:r>
      <w:r w:rsidR="00E865A7" w:rsidRPr="00F71E5F">
        <w:rPr>
          <w:rFonts w:ascii="Times New Roman" w:hAnsi="Times New Roman" w:cs="Times New Roman"/>
        </w:rPr>
        <w:t>xcept</w:t>
      </w:r>
      <w:r w:rsidRPr="00F71E5F">
        <w:rPr>
          <w:rFonts w:ascii="Times New Roman" w:hAnsi="Times New Roman" w:cs="Times New Roman"/>
        </w:rPr>
        <w:t xml:space="preserve"> when his employment has been terminated-</w:t>
      </w:r>
    </w:p>
    <w:p w:rsidR="00E865A7" w:rsidRPr="00F71E5F" w:rsidRDefault="00E865A7" w:rsidP="00F71E5F">
      <w:pPr>
        <w:spacing w:line="240" w:lineRule="auto"/>
        <w:ind w:left="2160" w:hanging="720"/>
        <w:jc w:val="both"/>
        <w:rPr>
          <w:rFonts w:ascii="Times New Roman" w:hAnsi="Times New Roman" w:cs="Times New Roman"/>
        </w:rPr>
      </w:pPr>
      <w:r w:rsidRPr="00F71E5F">
        <w:rPr>
          <w:rFonts w:ascii="Times New Roman" w:hAnsi="Times New Roman" w:cs="Times New Roman"/>
        </w:rPr>
        <w:t xml:space="preserve">(iii) </w:t>
      </w:r>
      <w:r w:rsidRPr="00F71E5F">
        <w:rPr>
          <w:rFonts w:ascii="Times New Roman" w:hAnsi="Times New Roman" w:cs="Times New Roman"/>
        </w:rPr>
        <w:tab/>
        <w:t>all bonus payments or like benefits due to an employee shall be paid within 14 working days of the end of the period to wh</w:t>
      </w:r>
      <w:r w:rsidR="00FB48CD" w:rsidRPr="00F71E5F">
        <w:rPr>
          <w:rFonts w:ascii="Times New Roman" w:hAnsi="Times New Roman" w:cs="Times New Roman"/>
        </w:rPr>
        <w:t>ich such bonus</w:t>
      </w:r>
      <w:r w:rsidRPr="00F71E5F">
        <w:rPr>
          <w:rFonts w:ascii="Times New Roman" w:hAnsi="Times New Roman" w:cs="Times New Roman"/>
        </w:rPr>
        <w:t xml:space="preserve"> payments relate.”</w:t>
      </w:r>
    </w:p>
    <w:p w:rsidR="00E865A7" w:rsidRPr="00623182" w:rsidRDefault="00FB48CD" w:rsidP="00F71E5F">
      <w:pPr>
        <w:spacing w:after="0" w:line="360" w:lineRule="auto"/>
        <w:ind w:firstLine="720"/>
        <w:jc w:val="both"/>
        <w:rPr>
          <w:rFonts w:ascii="Times New Roman" w:hAnsi="Times New Roman" w:cs="Times New Roman"/>
          <w:sz w:val="24"/>
          <w:szCs w:val="24"/>
        </w:rPr>
      </w:pPr>
      <w:r w:rsidRPr="00623182">
        <w:rPr>
          <w:rFonts w:ascii="Times New Roman" w:hAnsi="Times New Roman" w:cs="Times New Roman"/>
          <w:sz w:val="24"/>
          <w:szCs w:val="24"/>
        </w:rPr>
        <w:t xml:space="preserve">However, payment is dependent on ascertainable prior conduct of the parties </w:t>
      </w:r>
      <w:r w:rsidR="00830707" w:rsidRPr="00623182">
        <w:rPr>
          <w:rFonts w:ascii="Times New Roman" w:hAnsi="Times New Roman" w:cs="Times New Roman"/>
          <w:sz w:val="24"/>
          <w:szCs w:val="24"/>
        </w:rPr>
        <w:t xml:space="preserve">which includes the setting of the key performance indicators by management, the performance by the employee </w:t>
      </w:r>
      <w:r w:rsidR="00A706EB" w:rsidRPr="00623182">
        <w:rPr>
          <w:rFonts w:ascii="Times New Roman" w:hAnsi="Times New Roman" w:cs="Times New Roman"/>
          <w:sz w:val="24"/>
          <w:szCs w:val="24"/>
        </w:rPr>
        <w:t xml:space="preserve">and the monitoring and </w:t>
      </w:r>
      <w:r w:rsidR="00830707" w:rsidRPr="00623182">
        <w:rPr>
          <w:rFonts w:ascii="Times New Roman" w:hAnsi="Times New Roman" w:cs="Times New Roman"/>
          <w:sz w:val="24"/>
          <w:szCs w:val="24"/>
        </w:rPr>
        <w:t xml:space="preserve">evaluation </w:t>
      </w:r>
      <w:r w:rsidR="00A706EB" w:rsidRPr="00623182">
        <w:rPr>
          <w:rFonts w:ascii="Times New Roman" w:hAnsi="Times New Roman" w:cs="Times New Roman"/>
          <w:sz w:val="24"/>
          <w:szCs w:val="24"/>
        </w:rPr>
        <w:t>of such performance by management followed by the authorisati</w:t>
      </w:r>
      <w:r w:rsidR="006C10A8">
        <w:rPr>
          <w:rFonts w:ascii="Times New Roman" w:hAnsi="Times New Roman" w:cs="Times New Roman"/>
          <w:sz w:val="24"/>
          <w:szCs w:val="24"/>
        </w:rPr>
        <w:t xml:space="preserve">on and approval to make payment, which </w:t>
      </w:r>
      <w:r w:rsidR="00A706EB" w:rsidRPr="00623182">
        <w:rPr>
          <w:rFonts w:ascii="Times New Roman" w:hAnsi="Times New Roman" w:cs="Times New Roman"/>
          <w:sz w:val="24"/>
          <w:szCs w:val="24"/>
        </w:rPr>
        <w:t>constitute the necessary steps that must be taken before payment becomes due. It seems to me that the unconditional obligation to pay takes place at the authorisation and approval stage, which in compliance with clause 19 (5) (a) (ii</w:t>
      </w:r>
      <w:r w:rsidR="006C10A8">
        <w:rPr>
          <w:rFonts w:ascii="Times New Roman" w:hAnsi="Times New Roman" w:cs="Times New Roman"/>
          <w:sz w:val="24"/>
          <w:szCs w:val="24"/>
        </w:rPr>
        <w:t>i</w:t>
      </w:r>
      <w:r w:rsidR="00A706EB" w:rsidRPr="00623182">
        <w:rPr>
          <w:rFonts w:ascii="Times New Roman" w:hAnsi="Times New Roman" w:cs="Times New Roman"/>
          <w:sz w:val="24"/>
          <w:szCs w:val="24"/>
        </w:rPr>
        <w:t xml:space="preserve">) must take place within 14 working days from the end of the period for which the bonus is payable.  I proceed to apply this principle to the types of bonuses </w:t>
      </w:r>
      <w:r w:rsidR="006B3E8F" w:rsidRPr="00623182">
        <w:rPr>
          <w:rFonts w:ascii="Times New Roman" w:hAnsi="Times New Roman" w:cs="Times New Roman"/>
          <w:sz w:val="24"/>
          <w:szCs w:val="24"/>
        </w:rPr>
        <w:t xml:space="preserve">the first witness </w:t>
      </w:r>
      <w:r w:rsidR="006C10A8">
        <w:rPr>
          <w:rFonts w:ascii="Times New Roman" w:hAnsi="Times New Roman" w:cs="Times New Roman"/>
          <w:sz w:val="24"/>
          <w:szCs w:val="24"/>
        </w:rPr>
        <w:t xml:space="preserve">identified in </w:t>
      </w:r>
      <w:r w:rsidR="00A706EB" w:rsidRPr="00623182">
        <w:rPr>
          <w:rFonts w:ascii="Times New Roman" w:hAnsi="Times New Roman" w:cs="Times New Roman"/>
          <w:sz w:val="24"/>
          <w:szCs w:val="24"/>
        </w:rPr>
        <w:t xml:space="preserve">exhibit 2. </w:t>
      </w:r>
    </w:p>
    <w:p w:rsidR="0065695B" w:rsidRPr="00D27AAD" w:rsidRDefault="00630F3D" w:rsidP="00F71E5F">
      <w:pPr>
        <w:spacing w:after="0" w:line="360" w:lineRule="auto"/>
        <w:jc w:val="both"/>
        <w:rPr>
          <w:rFonts w:ascii="Times New Roman" w:hAnsi="Times New Roman" w:cs="Times New Roman"/>
          <w:i/>
          <w:sz w:val="24"/>
          <w:szCs w:val="24"/>
        </w:rPr>
      </w:pPr>
      <w:r w:rsidRPr="00D27AAD">
        <w:rPr>
          <w:rFonts w:ascii="Times New Roman" w:hAnsi="Times New Roman" w:cs="Times New Roman"/>
          <w:i/>
          <w:sz w:val="24"/>
          <w:szCs w:val="24"/>
        </w:rPr>
        <w:t>Target and leave bonus</w:t>
      </w:r>
    </w:p>
    <w:p w:rsidR="002C79B2" w:rsidRPr="00623182" w:rsidRDefault="0065695B" w:rsidP="00F71E5F">
      <w:pPr>
        <w:spacing w:after="0" w:line="360" w:lineRule="auto"/>
        <w:ind w:firstLine="720"/>
        <w:jc w:val="both"/>
        <w:rPr>
          <w:rFonts w:ascii="Times New Roman" w:hAnsi="Times New Roman" w:cs="Times New Roman"/>
          <w:sz w:val="24"/>
          <w:szCs w:val="24"/>
        </w:rPr>
      </w:pPr>
      <w:r w:rsidRPr="00623182">
        <w:rPr>
          <w:rFonts w:ascii="Times New Roman" w:hAnsi="Times New Roman" w:cs="Times New Roman"/>
          <w:sz w:val="24"/>
          <w:szCs w:val="24"/>
        </w:rPr>
        <w:t>The first witness testified th</w:t>
      </w:r>
      <w:r w:rsidR="006A490C" w:rsidRPr="00623182">
        <w:rPr>
          <w:rFonts w:ascii="Times New Roman" w:hAnsi="Times New Roman" w:cs="Times New Roman"/>
          <w:sz w:val="24"/>
          <w:szCs w:val="24"/>
        </w:rPr>
        <w:t>a</w:t>
      </w:r>
      <w:r w:rsidRPr="00623182">
        <w:rPr>
          <w:rFonts w:ascii="Times New Roman" w:hAnsi="Times New Roman" w:cs="Times New Roman"/>
          <w:sz w:val="24"/>
          <w:szCs w:val="24"/>
        </w:rPr>
        <w:t xml:space="preserve">t a leave bonus was unique to the mining industry. It was a benefit paid to the employee for either proceeding on leave or encashing his leave days, which was in the equivalent amount to the leave value taken or encashed. </w:t>
      </w:r>
      <w:r w:rsidR="004A0F4E" w:rsidRPr="00623182">
        <w:rPr>
          <w:rFonts w:ascii="Times New Roman" w:hAnsi="Times New Roman" w:cs="Times New Roman"/>
          <w:sz w:val="24"/>
          <w:szCs w:val="24"/>
        </w:rPr>
        <w:t>She ascribed it to</w:t>
      </w:r>
      <w:r w:rsidR="006B17A5" w:rsidRPr="00623182">
        <w:rPr>
          <w:rFonts w:ascii="Times New Roman" w:hAnsi="Times New Roman" w:cs="Times New Roman"/>
          <w:sz w:val="24"/>
          <w:szCs w:val="24"/>
        </w:rPr>
        <w:t xml:space="preserve"> some unidentified mining industry labour regulations and </w:t>
      </w:r>
      <w:r w:rsidR="004A0F4E" w:rsidRPr="00623182">
        <w:rPr>
          <w:rFonts w:ascii="Times New Roman" w:hAnsi="Times New Roman" w:cs="Times New Roman"/>
          <w:sz w:val="24"/>
          <w:szCs w:val="24"/>
        </w:rPr>
        <w:t xml:space="preserve">averred that it formed </w:t>
      </w:r>
      <w:r w:rsidR="006B17A5" w:rsidRPr="00623182">
        <w:rPr>
          <w:rFonts w:ascii="Times New Roman" w:hAnsi="Times New Roman" w:cs="Times New Roman"/>
          <w:sz w:val="24"/>
          <w:szCs w:val="24"/>
        </w:rPr>
        <w:t xml:space="preserve">part of the employment contract of every employee. </w:t>
      </w:r>
      <w:r w:rsidR="002E61C4">
        <w:rPr>
          <w:rFonts w:ascii="Times New Roman" w:hAnsi="Times New Roman" w:cs="Times New Roman"/>
          <w:sz w:val="24"/>
          <w:szCs w:val="24"/>
        </w:rPr>
        <w:t xml:space="preserve"> Contrary to this averment, t</w:t>
      </w:r>
      <w:r w:rsidR="006B17A5" w:rsidRPr="00623182">
        <w:rPr>
          <w:rFonts w:ascii="Times New Roman" w:hAnsi="Times New Roman" w:cs="Times New Roman"/>
          <w:sz w:val="24"/>
          <w:szCs w:val="24"/>
        </w:rPr>
        <w:t>he employee contracts produced for the tax year</w:t>
      </w:r>
      <w:r w:rsidR="004A0F4E" w:rsidRPr="00623182">
        <w:rPr>
          <w:rFonts w:ascii="Times New Roman" w:hAnsi="Times New Roman" w:cs="Times New Roman"/>
          <w:sz w:val="24"/>
          <w:szCs w:val="24"/>
        </w:rPr>
        <w:t>s</w:t>
      </w:r>
      <w:r w:rsidR="006B17A5" w:rsidRPr="00623182">
        <w:rPr>
          <w:rFonts w:ascii="Times New Roman" w:hAnsi="Times New Roman" w:cs="Times New Roman"/>
          <w:sz w:val="24"/>
          <w:szCs w:val="24"/>
        </w:rPr>
        <w:t xml:space="preserve"> in question d</w:t>
      </w:r>
      <w:r w:rsidR="004A0F4E" w:rsidRPr="00623182">
        <w:rPr>
          <w:rFonts w:ascii="Times New Roman" w:hAnsi="Times New Roman" w:cs="Times New Roman"/>
          <w:sz w:val="24"/>
          <w:szCs w:val="24"/>
        </w:rPr>
        <w:t xml:space="preserve">id </w:t>
      </w:r>
      <w:r w:rsidR="006B17A5" w:rsidRPr="00623182">
        <w:rPr>
          <w:rFonts w:ascii="Times New Roman" w:hAnsi="Times New Roman" w:cs="Times New Roman"/>
          <w:sz w:val="24"/>
          <w:szCs w:val="24"/>
        </w:rPr>
        <w:t xml:space="preserve">not have such a clause. </w:t>
      </w:r>
      <w:r w:rsidR="00EA4EE9" w:rsidRPr="00623182">
        <w:rPr>
          <w:rFonts w:ascii="Times New Roman" w:hAnsi="Times New Roman" w:cs="Times New Roman"/>
          <w:sz w:val="24"/>
          <w:szCs w:val="24"/>
        </w:rPr>
        <w:t xml:space="preserve"> She also included in the expenses for each tax year the monetary values of the leave bonuses for leave not taken or encashed merely on the basis of accrual.  </w:t>
      </w:r>
      <w:r w:rsidR="006B17A5" w:rsidRPr="00623182">
        <w:rPr>
          <w:rFonts w:ascii="Times New Roman" w:hAnsi="Times New Roman" w:cs="Times New Roman"/>
          <w:sz w:val="24"/>
          <w:szCs w:val="24"/>
        </w:rPr>
        <w:t xml:space="preserve"> </w:t>
      </w:r>
      <w:r w:rsidR="00764607" w:rsidRPr="00623182">
        <w:rPr>
          <w:rFonts w:ascii="Times New Roman" w:hAnsi="Times New Roman" w:cs="Times New Roman"/>
          <w:sz w:val="24"/>
          <w:szCs w:val="24"/>
        </w:rPr>
        <w:t xml:space="preserve">In regards to a target bonus, she averred that management set </w:t>
      </w:r>
      <w:r w:rsidR="004A0F4E" w:rsidRPr="00623182">
        <w:rPr>
          <w:rFonts w:ascii="Times New Roman" w:hAnsi="Times New Roman" w:cs="Times New Roman"/>
          <w:sz w:val="24"/>
          <w:szCs w:val="24"/>
        </w:rPr>
        <w:t xml:space="preserve">quarterly targets for employees. </w:t>
      </w:r>
      <w:r w:rsidR="00764607" w:rsidRPr="00623182">
        <w:rPr>
          <w:rFonts w:ascii="Times New Roman" w:hAnsi="Times New Roman" w:cs="Times New Roman"/>
          <w:sz w:val="24"/>
          <w:szCs w:val="24"/>
        </w:rPr>
        <w:t xml:space="preserve">Once these targets were attained, the employees were </w:t>
      </w:r>
      <w:r w:rsidR="007A689A" w:rsidRPr="00623182">
        <w:rPr>
          <w:rFonts w:ascii="Times New Roman" w:hAnsi="Times New Roman" w:cs="Times New Roman"/>
          <w:sz w:val="24"/>
          <w:szCs w:val="24"/>
        </w:rPr>
        <w:t xml:space="preserve">entitled to a </w:t>
      </w:r>
      <w:r w:rsidR="004A0F4E" w:rsidRPr="00623182">
        <w:rPr>
          <w:rFonts w:ascii="Times New Roman" w:hAnsi="Times New Roman" w:cs="Times New Roman"/>
          <w:sz w:val="24"/>
          <w:szCs w:val="24"/>
        </w:rPr>
        <w:t xml:space="preserve">target bonus, which however was </w:t>
      </w:r>
      <w:r w:rsidR="007A689A" w:rsidRPr="00623182">
        <w:rPr>
          <w:rFonts w:ascii="Times New Roman" w:hAnsi="Times New Roman" w:cs="Times New Roman"/>
          <w:sz w:val="24"/>
          <w:szCs w:val="24"/>
        </w:rPr>
        <w:t xml:space="preserve">paid </w:t>
      </w:r>
      <w:r w:rsidR="002C79B2" w:rsidRPr="00623182">
        <w:rPr>
          <w:rFonts w:ascii="Times New Roman" w:hAnsi="Times New Roman" w:cs="Times New Roman"/>
          <w:sz w:val="24"/>
          <w:szCs w:val="24"/>
        </w:rPr>
        <w:t xml:space="preserve">in the following year </w:t>
      </w:r>
      <w:r w:rsidR="00902D4D" w:rsidRPr="00623182">
        <w:rPr>
          <w:rFonts w:ascii="Times New Roman" w:hAnsi="Times New Roman" w:cs="Times New Roman"/>
          <w:sz w:val="24"/>
          <w:szCs w:val="24"/>
        </w:rPr>
        <w:t>that of assessment.</w:t>
      </w:r>
      <w:r w:rsidR="0091437D" w:rsidRPr="00623182">
        <w:rPr>
          <w:rFonts w:ascii="Times New Roman" w:hAnsi="Times New Roman" w:cs="Times New Roman"/>
          <w:sz w:val="24"/>
          <w:szCs w:val="24"/>
        </w:rPr>
        <w:t xml:space="preserve"> However the production and safety bonuses were paid throughout the year</w:t>
      </w:r>
      <w:r w:rsidR="007C3CA0" w:rsidRPr="00623182">
        <w:rPr>
          <w:rFonts w:ascii="Times New Roman" w:hAnsi="Times New Roman" w:cs="Times New Roman"/>
          <w:sz w:val="24"/>
          <w:szCs w:val="24"/>
        </w:rPr>
        <w:t xml:space="preserve"> </w:t>
      </w:r>
      <w:r w:rsidR="007C3CA0" w:rsidRPr="00623182">
        <w:rPr>
          <w:rFonts w:ascii="Times New Roman" w:hAnsi="Times New Roman" w:cs="Times New Roman"/>
          <w:sz w:val="24"/>
          <w:szCs w:val="24"/>
        </w:rPr>
        <w:lastRenderedPageBreak/>
        <w:t xml:space="preserve">quarterly or every 60 days because both production and safety are critical issues in the mining industry. </w:t>
      </w:r>
      <w:r w:rsidR="003737FF" w:rsidRPr="00623182">
        <w:rPr>
          <w:rFonts w:ascii="Times New Roman" w:hAnsi="Times New Roman" w:cs="Times New Roman"/>
          <w:sz w:val="24"/>
          <w:szCs w:val="24"/>
        </w:rPr>
        <w:t xml:space="preserve"> </w:t>
      </w:r>
      <w:r w:rsidR="00081268">
        <w:rPr>
          <w:rFonts w:ascii="Times New Roman" w:hAnsi="Times New Roman" w:cs="Times New Roman"/>
          <w:sz w:val="24"/>
          <w:szCs w:val="24"/>
        </w:rPr>
        <w:t xml:space="preserve">The amounts in blue which in part constituted target and leave bonuses did not represent approved payments for completed targets nor for leave taken or encashed but represented targets that were pending and leave that was to be taken or encashed. It is clear to me that when the amounts were deducted in the tax years in which they were made the appellant did not have an unconditional obligation to pay.  </w:t>
      </w:r>
    </w:p>
    <w:p w:rsidR="00716BEA" w:rsidRPr="00AF267A" w:rsidRDefault="00716BEA" w:rsidP="00623182">
      <w:pPr>
        <w:spacing w:line="360" w:lineRule="auto"/>
        <w:jc w:val="both"/>
        <w:rPr>
          <w:rFonts w:ascii="Times New Roman" w:hAnsi="Times New Roman" w:cs="Times New Roman"/>
          <w:i/>
          <w:sz w:val="24"/>
          <w:szCs w:val="24"/>
        </w:rPr>
      </w:pPr>
      <w:r w:rsidRPr="00AF267A">
        <w:rPr>
          <w:rFonts w:ascii="Times New Roman" w:hAnsi="Times New Roman" w:cs="Times New Roman"/>
          <w:i/>
          <w:sz w:val="24"/>
          <w:szCs w:val="24"/>
        </w:rPr>
        <w:t>The 13</w:t>
      </w:r>
      <w:r w:rsidRPr="00AF267A">
        <w:rPr>
          <w:rFonts w:ascii="Times New Roman" w:hAnsi="Times New Roman" w:cs="Times New Roman"/>
          <w:i/>
          <w:sz w:val="24"/>
          <w:szCs w:val="24"/>
          <w:vertAlign w:val="superscript"/>
        </w:rPr>
        <w:t>th</w:t>
      </w:r>
      <w:r w:rsidRPr="00AF267A">
        <w:rPr>
          <w:rFonts w:ascii="Times New Roman" w:hAnsi="Times New Roman" w:cs="Times New Roman"/>
          <w:i/>
          <w:sz w:val="24"/>
          <w:szCs w:val="24"/>
        </w:rPr>
        <w:t xml:space="preserve"> cheque</w:t>
      </w:r>
    </w:p>
    <w:p w:rsidR="00D4478F" w:rsidRDefault="00F71E5F" w:rsidP="00F71E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16BEA" w:rsidRPr="00623182">
        <w:rPr>
          <w:rFonts w:ascii="Times New Roman" w:hAnsi="Times New Roman" w:cs="Times New Roman"/>
          <w:sz w:val="24"/>
          <w:szCs w:val="24"/>
        </w:rPr>
        <w:t>The witness indicated that this was a benefit paid once a year to an employee</w:t>
      </w:r>
      <w:r w:rsidR="00190CC1" w:rsidRPr="00623182">
        <w:rPr>
          <w:rFonts w:ascii="Times New Roman" w:hAnsi="Times New Roman" w:cs="Times New Roman"/>
          <w:sz w:val="24"/>
          <w:szCs w:val="24"/>
        </w:rPr>
        <w:t>, in November-December but expensed in the 30 September financial statements</w:t>
      </w:r>
      <w:r w:rsidR="00716BEA" w:rsidRPr="00623182">
        <w:rPr>
          <w:rFonts w:ascii="Times New Roman" w:hAnsi="Times New Roman" w:cs="Times New Roman"/>
          <w:sz w:val="24"/>
          <w:szCs w:val="24"/>
        </w:rPr>
        <w:t>. It was common cause that this was not an obligatory payment but one which depended on the sole discretion of management. The witn</w:t>
      </w:r>
      <w:r w:rsidR="004A0F4E" w:rsidRPr="00623182">
        <w:rPr>
          <w:rFonts w:ascii="Times New Roman" w:hAnsi="Times New Roman" w:cs="Times New Roman"/>
          <w:sz w:val="24"/>
          <w:szCs w:val="24"/>
        </w:rPr>
        <w:t>ess testified that</w:t>
      </w:r>
      <w:r w:rsidR="00716BEA" w:rsidRPr="00623182">
        <w:rPr>
          <w:rFonts w:ascii="Times New Roman" w:hAnsi="Times New Roman" w:cs="Times New Roman"/>
          <w:sz w:val="24"/>
          <w:szCs w:val="24"/>
        </w:rPr>
        <w:t xml:space="preserve"> </w:t>
      </w:r>
      <w:r w:rsidR="004A0F4E" w:rsidRPr="00623182">
        <w:rPr>
          <w:rFonts w:ascii="Times New Roman" w:hAnsi="Times New Roman" w:cs="Times New Roman"/>
          <w:sz w:val="24"/>
          <w:szCs w:val="24"/>
        </w:rPr>
        <w:t xml:space="preserve">by convention </w:t>
      </w:r>
      <w:r w:rsidR="00716BEA" w:rsidRPr="00623182">
        <w:rPr>
          <w:rFonts w:ascii="Times New Roman" w:hAnsi="Times New Roman" w:cs="Times New Roman"/>
          <w:sz w:val="24"/>
          <w:szCs w:val="24"/>
        </w:rPr>
        <w:t>the 13</w:t>
      </w:r>
      <w:r w:rsidR="00716BEA" w:rsidRPr="00623182">
        <w:rPr>
          <w:rFonts w:ascii="Times New Roman" w:hAnsi="Times New Roman" w:cs="Times New Roman"/>
          <w:sz w:val="24"/>
          <w:szCs w:val="24"/>
          <w:vertAlign w:val="superscript"/>
        </w:rPr>
        <w:t>th</w:t>
      </w:r>
      <w:r w:rsidR="004A0F4E" w:rsidRPr="00623182">
        <w:rPr>
          <w:rFonts w:ascii="Times New Roman" w:hAnsi="Times New Roman" w:cs="Times New Roman"/>
          <w:sz w:val="24"/>
          <w:szCs w:val="24"/>
        </w:rPr>
        <w:t xml:space="preserve"> cheque was paid in the November-December period </w:t>
      </w:r>
      <w:r w:rsidR="004C33DE" w:rsidRPr="00623182">
        <w:rPr>
          <w:rFonts w:ascii="Times New Roman" w:hAnsi="Times New Roman" w:cs="Times New Roman"/>
          <w:sz w:val="24"/>
          <w:szCs w:val="24"/>
        </w:rPr>
        <w:t xml:space="preserve">in Zimbabwe and in accordance with this tradition, the appellant approved payment before its financial year end for payment at the calendar year end. Obviously such a position did not accord with the requirements of clause 19 (5) (a) (iii) of the CBA.  </w:t>
      </w:r>
      <w:r w:rsidR="00716BEA" w:rsidRPr="00623182">
        <w:rPr>
          <w:rFonts w:ascii="Times New Roman" w:hAnsi="Times New Roman" w:cs="Times New Roman"/>
          <w:sz w:val="24"/>
          <w:szCs w:val="24"/>
        </w:rPr>
        <w:t>As the admi</w:t>
      </w:r>
      <w:r w:rsidR="004C33DE" w:rsidRPr="00623182">
        <w:rPr>
          <w:rFonts w:ascii="Times New Roman" w:hAnsi="Times New Roman" w:cs="Times New Roman"/>
          <w:sz w:val="24"/>
          <w:szCs w:val="24"/>
        </w:rPr>
        <w:t xml:space="preserve">nistrator and company secretary, the first </w:t>
      </w:r>
      <w:r w:rsidR="005F5540" w:rsidRPr="00623182">
        <w:rPr>
          <w:rFonts w:ascii="Times New Roman" w:hAnsi="Times New Roman" w:cs="Times New Roman"/>
          <w:sz w:val="24"/>
          <w:szCs w:val="24"/>
        </w:rPr>
        <w:t xml:space="preserve">witness </w:t>
      </w:r>
      <w:r w:rsidR="00716BEA" w:rsidRPr="00623182">
        <w:rPr>
          <w:rFonts w:ascii="Times New Roman" w:hAnsi="Times New Roman" w:cs="Times New Roman"/>
          <w:sz w:val="24"/>
          <w:szCs w:val="24"/>
        </w:rPr>
        <w:t>would have been better placed to testify when and by whom the payment of the 13</w:t>
      </w:r>
      <w:r w:rsidR="00716BEA" w:rsidRPr="00623182">
        <w:rPr>
          <w:rFonts w:ascii="Times New Roman" w:hAnsi="Times New Roman" w:cs="Times New Roman"/>
          <w:sz w:val="24"/>
          <w:szCs w:val="24"/>
          <w:vertAlign w:val="superscript"/>
        </w:rPr>
        <w:t>th</w:t>
      </w:r>
      <w:r w:rsidR="00716BEA" w:rsidRPr="00623182">
        <w:rPr>
          <w:rFonts w:ascii="Times New Roman" w:hAnsi="Times New Roman" w:cs="Times New Roman"/>
          <w:sz w:val="24"/>
          <w:szCs w:val="24"/>
        </w:rPr>
        <w:t xml:space="preserve"> cheque was authorised. She could only say it was the responsibility of management but was unclear how and by whom the decision to avail the 13</w:t>
      </w:r>
      <w:r w:rsidR="00716BEA" w:rsidRPr="00623182">
        <w:rPr>
          <w:rFonts w:ascii="Times New Roman" w:hAnsi="Times New Roman" w:cs="Times New Roman"/>
          <w:sz w:val="24"/>
          <w:szCs w:val="24"/>
          <w:vertAlign w:val="superscript"/>
        </w:rPr>
        <w:t>th</w:t>
      </w:r>
      <w:r w:rsidR="00716BEA" w:rsidRPr="00623182">
        <w:rPr>
          <w:rFonts w:ascii="Times New Roman" w:hAnsi="Times New Roman" w:cs="Times New Roman"/>
          <w:sz w:val="24"/>
          <w:szCs w:val="24"/>
        </w:rPr>
        <w:t xml:space="preserve"> cheque was taken</w:t>
      </w:r>
      <w:r w:rsidR="00E259F4" w:rsidRPr="00623182">
        <w:rPr>
          <w:rFonts w:ascii="Times New Roman" w:hAnsi="Times New Roman" w:cs="Times New Roman"/>
          <w:sz w:val="24"/>
          <w:szCs w:val="24"/>
        </w:rPr>
        <w:t xml:space="preserve">. </w:t>
      </w:r>
    </w:p>
    <w:p w:rsidR="00716BEA" w:rsidRPr="00623182" w:rsidRDefault="00E259F4" w:rsidP="00D4478F">
      <w:pPr>
        <w:spacing w:after="0" w:line="360" w:lineRule="auto"/>
        <w:ind w:firstLine="720"/>
        <w:jc w:val="both"/>
        <w:rPr>
          <w:rFonts w:ascii="Times New Roman" w:hAnsi="Times New Roman" w:cs="Times New Roman"/>
          <w:sz w:val="24"/>
          <w:szCs w:val="24"/>
        </w:rPr>
      </w:pPr>
      <w:r w:rsidRPr="00623182">
        <w:rPr>
          <w:rFonts w:ascii="Times New Roman" w:hAnsi="Times New Roman" w:cs="Times New Roman"/>
          <w:sz w:val="24"/>
          <w:szCs w:val="24"/>
        </w:rPr>
        <w:t xml:space="preserve">I agree with the suggestion postulated by Mr </w:t>
      </w:r>
      <w:r w:rsidRPr="00623182">
        <w:rPr>
          <w:rFonts w:ascii="Times New Roman" w:hAnsi="Times New Roman" w:cs="Times New Roman"/>
          <w:i/>
          <w:sz w:val="24"/>
          <w:szCs w:val="24"/>
        </w:rPr>
        <w:t>Magwaliba</w:t>
      </w:r>
      <w:r w:rsidRPr="00623182">
        <w:rPr>
          <w:rFonts w:ascii="Times New Roman" w:hAnsi="Times New Roman" w:cs="Times New Roman"/>
          <w:sz w:val="24"/>
          <w:szCs w:val="24"/>
        </w:rPr>
        <w:t xml:space="preserve"> </w:t>
      </w:r>
      <w:r w:rsidR="005F5540" w:rsidRPr="00623182">
        <w:rPr>
          <w:rFonts w:ascii="Times New Roman" w:hAnsi="Times New Roman" w:cs="Times New Roman"/>
          <w:sz w:val="24"/>
          <w:szCs w:val="24"/>
        </w:rPr>
        <w:t xml:space="preserve">and confirmed in passing by the appellant’s second witness </w:t>
      </w:r>
      <w:r w:rsidRPr="00623182">
        <w:rPr>
          <w:rFonts w:ascii="Times New Roman" w:hAnsi="Times New Roman" w:cs="Times New Roman"/>
          <w:sz w:val="24"/>
          <w:szCs w:val="24"/>
        </w:rPr>
        <w:t xml:space="preserve">that such a decision would ordinarily have been made by the directors of the company and communicated to management for implementation. As the company </w:t>
      </w:r>
      <w:r w:rsidR="005F4C5A" w:rsidRPr="00623182">
        <w:rPr>
          <w:rFonts w:ascii="Times New Roman" w:hAnsi="Times New Roman" w:cs="Times New Roman"/>
          <w:sz w:val="24"/>
          <w:szCs w:val="24"/>
        </w:rPr>
        <w:t>Secretary</w:t>
      </w:r>
      <w:r w:rsidR="00C02E13" w:rsidRPr="00623182">
        <w:rPr>
          <w:rFonts w:ascii="Times New Roman" w:hAnsi="Times New Roman" w:cs="Times New Roman"/>
          <w:sz w:val="24"/>
          <w:szCs w:val="24"/>
        </w:rPr>
        <w:t xml:space="preserve"> she w</w:t>
      </w:r>
      <w:r w:rsidRPr="00623182">
        <w:rPr>
          <w:rFonts w:ascii="Times New Roman" w:hAnsi="Times New Roman" w:cs="Times New Roman"/>
          <w:sz w:val="24"/>
          <w:szCs w:val="24"/>
        </w:rPr>
        <w:t xml:space="preserve">ould have </w:t>
      </w:r>
      <w:r w:rsidR="005F5540" w:rsidRPr="00623182">
        <w:rPr>
          <w:rFonts w:ascii="Times New Roman" w:hAnsi="Times New Roman" w:cs="Times New Roman"/>
          <w:sz w:val="24"/>
          <w:szCs w:val="24"/>
        </w:rPr>
        <w:t xml:space="preserve">been privy to </w:t>
      </w:r>
      <w:r w:rsidR="00AA2CCE">
        <w:rPr>
          <w:rFonts w:ascii="Times New Roman" w:hAnsi="Times New Roman" w:cs="Times New Roman"/>
          <w:sz w:val="24"/>
          <w:szCs w:val="24"/>
        </w:rPr>
        <w:t xml:space="preserve">the </w:t>
      </w:r>
      <w:r w:rsidR="005F5540" w:rsidRPr="00623182">
        <w:rPr>
          <w:rFonts w:ascii="Times New Roman" w:hAnsi="Times New Roman" w:cs="Times New Roman"/>
          <w:sz w:val="24"/>
          <w:szCs w:val="24"/>
        </w:rPr>
        <w:t xml:space="preserve">manner in which the appellant was managed </w:t>
      </w:r>
      <w:r w:rsidR="00C02E13" w:rsidRPr="00623182">
        <w:rPr>
          <w:rFonts w:ascii="Times New Roman" w:hAnsi="Times New Roman" w:cs="Times New Roman"/>
          <w:sz w:val="24"/>
          <w:szCs w:val="24"/>
        </w:rPr>
        <w:t xml:space="preserve">and </w:t>
      </w:r>
      <w:r w:rsidRPr="00623182">
        <w:rPr>
          <w:rFonts w:ascii="Times New Roman" w:hAnsi="Times New Roman" w:cs="Times New Roman"/>
          <w:sz w:val="24"/>
          <w:szCs w:val="24"/>
        </w:rPr>
        <w:t>produced either the minutes of the meeting or the resolution of the directors authorising such payment.</w:t>
      </w:r>
      <w:r w:rsidR="005F4C5A" w:rsidRPr="00623182">
        <w:rPr>
          <w:rFonts w:ascii="Times New Roman" w:hAnsi="Times New Roman" w:cs="Times New Roman"/>
          <w:sz w:val="24"/>
          <w:szCs w:val="24"/>
        </w:rPr>
        <w:t xml:space="preserve"> Such a document would have established when the company approved the payment of the 13</w:t>
      </w:r>
      <w:r w:rsidR="005F4C5A" w:rsidRPr="00623182">
        <w:rPr>
          <w:rFonts w:ascii="Times New Roman" w:hAnsi="Times New Roman" w:cs="Times New Roman"/>
          <w:sz w:val="24"/>
          <w:szCs w:val="24"/>
          <w:vertAlign w:val="superscript"/>
        </w:rPr>
        <w:t>th</w:t>
      </w:r>
      <w:r w:rsidR="005F4C5A" w:rsidRPr="00623182">
        <w:rPr>
          <w:rFonts w:ascii="Times New Roman" w:hAnsi="Times New Roman" w:cs="Times New Roman"/>
          <w:sz w:val="24"/>
          <w:szCs w:val="24"/>
        </w:rPr>
        <w:t xml:space="preserve"> cheque. She was simply unable to establish that any such approval was </w:t>
      </w:r>
      <w:r w:rsidR="005F5540" w:rsidRPr="00623182">
        <w:rPr>
          <w:rFonts w:ascii="Times New Roman" w:hAnsi="Times New Roman" w:cs="Times New Roman"/>
          <w:sz w:val="24"/>
          <w:szCs w:val="24"/>
        </w:rPr>
        <w:t xml:space="preserve">ever </w:t>
      </w:r>
      <w:r w:rsidR="005F4C5A" w:rsidRPr="00623182">
        <w:rPr>
          <w:rFonts w:ascii="Times New Roman" w:hAnsi="Times New Roman" w:cs="Times New Roman"/>
          <w:sz w:val="24"/>
          <w:szCs w:val="24"/>
        </w:rPr>
        <w:t xml:space="preserve">granted in the financial year in which the deductions were made. </w:t>
      </w:r>
      <w:r w:rsidR="0083704C" w:rsidRPr="00623182">
        <w:rPr>
          <w:rFonts w:ascii="Times New Roman" w:hAnsi="Times New Roman" w:cs="Times New Roman"/>
          <w:sz w:val="24"/>
          <w:szCs w:val="24"/>
        </w:rPr>
        <w:t>The respondent’s investigators requested the minutes of the company on 26 September 2013 and followed this up with a reminder on 7 October 2013.  The response provided by the appellant through its tax consultant on 28 October 2013 was that the appellant “keeps no record of minutes but files resolutions of any such meetings as is deemed critical.”</w:t>
      </w:r>
      <w:r w:rsidR="00367EAF" w:rsidRPr="00623182">
        <w:rPr>
          <w:rStyle w:val="FootnoteReference"/>
          <w:rFonts w:ascii="Times New Roman" w:hAnsi="Times New Roman" w:cs="Times New Roman"/>
          <w:sz w:val="24"/>
          <w:szCs w:val="24"/>
        </w:rPr>
        <w:footnoteReference w:id="5"/>
      </w:r>
      <w:r w:rsidR="0083704C" w:rsidRPr="00623182">
        <w:rPr>
          <w:rFonts w:ascii="Times New Roman" w:hAnsi="Times New Roman" w:cs="Times New Roman"/>
          <w:sz w:val="24"/>
          <w:szCs w:val="24"/>
        </w:rPr>
        <w:t xml:space="preserve"> </w:t>
      </w:r>
      <w:r w:rsidR="00BF4355">
        <w:rPr>
          <w:rFonts w:ascii="Times New Roman" w:hAnsi="Times New Roman" w:cs="Times New Roman"/>
          <w:sz w:val="24"/>
          <w:szCs w:val="24"/>
        </w:rPr>
        <w:t xml:space="preserve">The absence of such documentary evidence precluded the appellant from establishing that it had an </w:t>
      </w:r>
      <w:r w:rsidR="00BF4355">
        <w:rPr>
          <w:rFonts w:ascii="Times New Roman" w:hAnsi="Times New Roman" w:cs="Times New Roman"/>
          <w:sz w:val="24"/>
          <w:szCs w:val="24"/>
        </w:rPr>
        <w:lastRenderedPageBreak/>
        <w:t>unconditional obligation to pay the 1</w:t>
      </w:r>
      <w:r w:rsidR="00485BE5">
        <w:rPr>
          <w:rFonts w:ascii="Times New Roman" w:hAnsi="Times New Roman" w:cs="Times New Roman"/>
          <w:sz w:val="24"/>
          <w:szCs w:val="24"/>
        </w:rPr>
        <w:t>3</w:t>
      </w:r>
      <w:r w:rsidR="00485BE5" w:rsidRPr="00485BE5">
        <w:rPr>
          <w:rFonts w:ascii="Times New Roman" w:hAnsi="Times New Roman" w:cs="Times New Roman"/>
          <w:sz w:val="24"/>
          <w:szCs w:val="24"/>
          <w:vertAlign w:val="superscript"/>
        </w:rPr>
        <w:t>th</w:t>
      </w:r>
      <w:r w:rsidR="00485BE5">
        <w:rPr>
          <w:rFonts w:ascii="Times New Roman" w:hAnsi="Times New Roman" w:cs="Times New Roman"/>
          <w:sz w:val="24"/>
          <w:szCs w:val="24"/>
        </w:rPr>
        <w:t xml:space="preserve"> </w:t>
      </w:r>
      <w:r w:rsidR="00BF4355">
        <w:rPr>
          <w:rFonts w:ascii="Times New Roman" w:hAnsi="Times New Roman" w:cs="Times New Roman"/>
          <w:sz w:val="24"/>
          <w:szCs w:val="24"/>
        </w:rPr>
        <w:t>cheque before the end of its financial ye</w:t>
      </w:r>
      <w:r w:rsidR="00D71EA0">
        <w:rPr>
          <w:rFonts w:ascii="Times New Roman" w:hAnsi="Times New Roman" w:cs="Times New Roman"/>
          <w:sz w:val="24"/>
          <w:szCs w:val="24"/>
        </w:rPr>
        <w:t xml:space="preserve">ar. It failed to show that </w:t>
      </w:r>
      <w:r w:rsidR="00BF4355">
        <w:rPr>
          <w:rFonts w:ascii="Times New Roman" w:hAnsi="Times New Roman" w:cs="Times New Roman"/>
          <w:sz w:val="24"/>
          <w:szCs w:val="24"/>
        </w:rPr>
        <w:t>the decision to pay the 13</w:t>
      </w:r>
      <w:r w:rsidR="00BF4355" w:rsidRPr="00BF4355">
        <w:rPr>
          <w:rFonts w:ascii="Times New Roman" w:hAnsi="Times New Roman" w:cs="Times New Roman"/>
          <w:sz w:val="24"/>
          <w:szCs w:val="24"/>
          <w:vertAlign w:val="superscript"/>
        </w:rPr>
        <w:t>th</w:t>
      </w:r>
      <w:r w:rsidR="00BF4355">
        <w:rPr>
          <w:rFonts w:ascii="Times New Roman" w:hAnsi="Times New Roman" w:cs="Times New Roman"/>
          <w:sz w:val="24"/>
          <w:szCs w:val="24"/>
        </w:rPr>
        <w:t xml:space="preserve"> cheque was not made after the financial year end; in which case the payment of </w:t>
      </w:r>
      <w:r w:rsidR="00613FEF">
        <w:rPr>
          <w:rFonts w:ascii="Times New Roman" w:hAnsi="Times New Roman" w:cs="Times New Roman"/>
          <w:sz w:val="24"/>
          <w:szCs w:val="24"/>
        </w:rPr>
        <w:t xml:space="preserve">the </w:t>
      </w:r>
      <w:r w:rsidR="00BF4355">
        <w:rPr>
          <w:rFonts w:ascii="Times New Roman" w:hAnsi="Times New Roman" w:cs="Times New Roman"/>
          <w:sz w:val="24"/>
          <w:szCs w:val="24"/>
        </w:rPr>
        <w:t>13</w:t>
      </w:r>
      <w:r w:rsidR="00BF4355" w:rsidRPr="00BF4355">
        <w:rPr>
          <w:rFonts w:ascii="Times New Roman" w:hAnsi="Times New Roman" w:cs="Times New Roman"/>
          <w:sz w:val="24"/>
          <w:szCs w:val="24"/>
          <w:vertAlign w:val="superscript"/>
        </w:rPr>
        <w:t>th</w:t>
      </w:r>
      <w:r w:rsidR="00BF4355">
        <w:rPr>
          <w:rFonts w:ascii="Times New Roman" w:hAnsi="Times New Roman" w:cs="Times New Roman"/>
          <w:sz w:val="24"/>
          <w:szCs w:val="24"/>
        </w:rPr>
        <w:t xml:space="preserve"> cheque</w:t>
      </w:r>
      <w:r w:rsidR="007F2689">
        <w:rPr>
          <w:rFonts w:ascii="Times New Roman" w:hAnsi="Times New Roman" w:cs="Times New Roman"/>
          <w:sz w:val="24"/>
          <w:szCs w:val="24"/>
        </w:rPr>
        <w:t>,</w:t>
      </w:r>
      <w:r w:rsidR="00BF4355">
        <w:rPr>
          <w:rFonts w:ascii="Times New Roman" w:hAnsi="Times New Roman" w:cs="Times New Roman"/>
          <w:sz w:val="24"/>
          <w:szCs w:val="24"/>
        </w:rPr>
        <w:t xml:space="preserve"> payable as it was in November-December</w:t>
      </w:r>
      <w:r w:rsidR="007F2689">
        <w:rPr>
          <w:rFonts w:ascii="Times New Roman" w:hAnsi="Times New Roman" w:cs="Times New Roman"/>
          <w:sz w:val="24"/>
          <w:szCs w:val="24"/>
        </w:rPr>
        <w:t>,</w:t>
      </w:r>
      <w:r w:rsidR="00BF4355">
        <w:rPr>
          <w:rFonts w:ascii="Times New Roman" w:hAnsi="Times New Roman" w:cs="Times New Roman"/>
          <w:sz w:val="24"/>
          <w:szCs w:val="24"/>
        </w:rPr>
        <w:t xml:space="preserve"> would have been incurred in the subsequent tax year</w:t>
      </w:r>
      <w:r w:rsidR="00D71EA0">
        <w:rPr>
          <w:rFonts w:ascii="Times New Roman" w:hAnsi="Times New Roman" w:cs="Times New Roman"/>
          <w:sz w:val="24"/>
          <w:szCs w:val="24"/>
        </w:rPr>
        <w:t xml:space="preserve"> and not in the year in which the deductions were made</w:t>
      </w:r>
      <w:r w:rsidR="00BF4355">
        <w:rPr>
          <w:rFonts w:ascii="Times New Roman" w:hAnsi="Times New Roman" w:cs="Times New Roman"/>
          <w:sz w:val="24"/>
          <w:szCs w:val="24"/>
        </w:rPr>
        <w:t xml:space="preserve">.  </w:t>
      </w:r>
    </w:p>
    <w:p w:rsidR="0099758D" w:rsidRPr="0031219B" w:rsidRDefault="00C02E13" w:rsidP="00F71E5F">
      <w:pPr>
        <w:spacing w:after="0" w:line="360" w:lineRule="auto"/>
        <w:jc w:val="both"/>
        <w:rPr>
          <w:rFonts w:ascii="Times New Roman" w:hAnsi="Times New Roman" w:cs="Times New Roman"/>
          <w:i/>
          <w:sz w:val="24"/>
          <w:szCs w:val="24"/>
        </w:rPr>
      </w:pPr>
      <w:r w:rsidRPr="0031219B">
        <w:rPr>
          <w:rFonts w:ascii="Times New Roman" w:hAnsi="Times New Roman" w:cs="Times New Roman"/>
          <w:i/>
          <w:sz w:val="24"/>
          <w:szCs w:val="24"/>
        </w:rPr>
        <w:t>Gratuity</w:t>
      </w:r>
      <w:r w:rsidR="00D62950" w:rsidRPr="0031219B">
        <w:rPr>
          <w:rFonts w:ascii="Times New Roman" w:hAnsi="Times New Roman" w:cs="Times New Roman"/>
          <w:i/>
          <w:sz w:val="24"/>
          <w:szCs w:val="24"/>
        </w:rPr>
        <w:t xml:space="preserve"> </w:t>
      </w:r>
    </w:p>
    <w:p w:rsidR="00981AB5" w:rsidRPr="00623182" w:rsidRDefault="00F71E5F" w:rsidP="00F71E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9758D" w:rsidRPr="00623182">
        <w:rPr>
          <w:rFonts w:ascii="Times New Roman" w:hAnsi="Times New Roman" w:cs="Times New Roman"/>
          <w:sz w:val="24"/>
          <w:szCs w:val="24"/>
        </w:rPr>
        <w:t xml:space="preserve">She further testified that a gratuity was prescribed </w:t>
      </w:r>
      <w:r w:rsidR="00E40A0A" w:rsidRPr="00623182">
        <w:rPr>
          <w:rFonts w:ascii="Times New Roman" w:hAnsi="Times New Roman" w:cs="Times New Roman"/>
          <w:sz w:val="24"/>
          <w:szCs w:val="24"/>
        </w:rPr>
        <w:t xml:space="preserve">in </w:t>
      </w:r>
      <w:r w:rsidR="00816542" w:rsidRPr="00623182">
        <w:rPr>
          <w:rFonts w:ascii="Times New Roman" w:hAnsi="Times New Roman" w:cs="Times New Roman"/>
          <w:sz w:val="24"/>
          <w:szCs w:val="24"/>
        </w:rPr>
        <w:t xml:space="preserve">clause 34 of the CBA by the 1993 amendment. </w:t>
      </w:r>
      <w:r w:rsidR="00FF54F9" w:rsidRPr="00623182">
        <w:rPr>
          <w:rFonts w:ascii="Times New Roman" w:hAnsi="Times New Roman" w:cs="Times New Roman"/>
          <w:sz w:val="24"/>
          <w:szCs w:val="24"/>
        </w:rPr>
        <w:t>Again, she supplied the figures for gratuities in each of the tax years in issue in exhibit 2.  The gratuity accruals that were in blue amounted to US$ 9 084.37 against the actual payments in white of US$ 43 061.84 in 2009, US$ 943.47 against actual payments of US$74 885.06 in 2010, US$14 749.94 against actual payments of US$ 113 276.42 in 2011 and US$ 4 444.35 against actual payment of US$145 528.32 in 2012, respectively. The gratuity</w:t>
      </w:r>
      <w:r w:rsidR="00816542" w:rsidRPr="00623182">
        <w:rPr>
          <w:rFonts w:ascii="Times New Roman" w:hAnsi="Times New Roman" w:cs="Times New Roman"/>
          <w:sz w:val="24"/>
          <w:szCs w:val="24"/>
        </w:rPr>
        <w:t xml:space="preserve"> was</w:t>
      </w:r>
      <w:r w:rsidR="0099758D" w:rsidRPr="00623182">
        <w:rPr>
          <w:rFonts w:ascii="Times New Roman" w:hAnsi="Times New Roman" w:cs="Times New Roman"/>
          <w:sz w:val="24"/>
          <w:szCs w:val="24"/>
        </w:rPr>
        <w:t xml:space="preserve"> payable to a temporary employee</w:t>
      </w:r>
      <w:r w:rsidR="00DB73AF" w:rsidRPr="00623182">
        <w:rPr>
          <w:rFonts w:ascii="Times New Roman" w:hAnsi="Times New Roman" w:cs="Times New Roman"/>
          <w:sz w:val="24"/>
          <w:szCs w:val="24"/>
        </w:rPr>
        <w:t>,</w:t>
      </w:r>
      <w:r w:rsidR="0099758D" w:rsidRPr="00623182">
        <w:rPr>
          <w:rFonts w:ascii="Times New Roman" w:hAnsi="Times New Roman" w:cs="Times New Roman"/>
          <w:sz w:val="24"/>
          <w:szCs w:val="24"/>
        </w:rPr>
        <w:t xml:space="preserve"> </w:t>
      </w:r>
      <w:r w:rsidR="00816542" w:rsidRPr="00623182">
        <w:rPr>
          <w:rFonts w:ascii="Times New Roman" w:hAnsi="Times New Roman" w:cs="Times New Roman"/>
          <w:sz w:val="24"/>
          <w:szCs w:val="24"/>
        </w:rPr>
        <w:t>who had served at least 3 months</w:t>
      </w:r>
      <w:r w:rsidR="00DB73AF" w:rsidRPr="00623182">
        <w:rPr>
          <w:rFonts w:ascii="Times New Roman" w:hAnsi="Times New Roman" w:cs="Times New Roman"/>
          <w:sz w:val="24"/>
          <w:szCs w:val="24"/>
        </w:rPr>
        <w:t>,</w:t>
      </w:r>
      <w:r w:rsidR="00816542" w:rsidRPr="00623182">
        <w:rPr>
          <w:rFonts w:ascii="Times New Roman" w:hAnsi="Times New Roman" w:cs="Times New Roman"/>
          <w:sz w:val="24"/>
          <w:szCs w:val="24"/>
        </w:rPr>
        <w:t xml:space="preserve"> at the end of his employment period </w:t>
      </w:r>
      <w:r w:rsidR="0099758D" w:rsidRPr="00623182">
        <w:rPr>
          <w:rFonts w:ascii="Times New Roman" w:hAnsi="Times New Roman" w:cs="Times New Roman"/>
          <w:sz w:val="24"/>
          <w:szCs w:val="24"/>
        </w:rPr>
        <w:t xml:space="preserve">as a percentage of his basic salary and based on the period served.  </w:t>
      </w:r>
      <w:r w:rsidR="00981AB5" w:rsidRPr="00623182">
        <w:rPr>
          <w:rFonts w:ascii="Times New Roman" w:hAnsi="Times New Roman" w:cs="Times New Roman"/>
          <w:sz w:val="24"/>
          <w:szCs w:val="24"/>
        </w:rPr>
        <w:t>In terms of clause 34, “contract worker means an employee who is engaged for a period of fixed duration or for the performance of a specific task which excluded normal production underground”. In terms of sub clause (2) of clause 34</w:t>
      </w:r>
      <w:r w:rsidR="006E61B1">
        <w:rPr>
          <w:rFonts w:ascii="Times New Roman" w:hAnsi="Times New Roman" w:cs="Times New Roman"/>
          <w:sz w:val="24"/>
          <w:szCs w:val="24"/>
        </w:rPr>
        <w:t>,</w:t>
      </w:r>
      <w:r w:rsidR="00981AB5" w:rsidRPr="00623182">
        <w:rPr>
          <w:rFonts w:ascii="Times New Roman" w:hAnsi="Times New Roman" w:cs="Times New Roman"/>
          <w:sz w:val="24"/>
          <w:szCs w:val="24"/>
        </w:rPr>
        <w:t xml:space="preserve"> a contract worker </w:t>
      </w:r>
      <w:r w:rsidR="008075FA" w:rsidRPr="00623182">
        <w:rPr>
          <w:rFonts w:ascii="Times New Roman" w:hAnsi="Times New Roman" w:cs="Times New Roman"/>
          <w:sz w:val="24"/>
          <w:szCs w:val="24"/>
        </w:rPr>
        <w:t xml:space="preserve">who is employed for a period of less than one year is precluded from taking leave </w:t>
      </w:r>
      <w:r w:rsidR="00981AB5" w:rsidRPr="00623182">
        <w:rPr>
          <w:rFonts w:ascii="Times New Roman" w:hAnsi="Times New Roman" w:cs="Times New Roman"/>
          <w:sz w:val="24"/>
          <w:szCs w:val="24"/>
        </w:rPr>
        <w:t xml:space="preserve">but </w:t>
      </w:r>
      <w:r w:rsidR="008075FA" w:rsidRPr="00623182">
        <w:rPr>
          <w:rFonts w:ascii="Times New Roman" w:hAnsi="Times New Roman" w:cs="Times New Roman"/>
          <w:sz w:val="24"/>
          <w:szCs w:val="24"/>
        </w:rPr>
        <w:t>will</w:t>
      </w:r>
      <w:r w:rsidR="00981AB5" w:rsidRPr="00623182">
        <w:rPr>
          <w:rFonts w:ascii="Times New Roman" w:hAnsi="Times New Roman" w:cs="Times New Roman"/>
          <w:sz w:val="24"/>
          <w:szCs w:val="24"/>
        </w:rPr>
        <w:t xml:space="preserve"> be paid the cash equivalent </w:t>
      </w:r>
      <w:r w:rsidR="008075FA" w:rsidRPr="00623182">
        <w:rPr>
          <w:rFonts w:ascii="Times New Roman" w:hAnsi="Times New Roman" w:cs="Times New Roman"/>
          <w:sz w:val="24"/>
          <w:szCs w:val="24"/>
        </w:rPr>
        <w:t>of any leave due at</w:t>
      </w:r>
      <w:r w:rsidR="00981AB5" w:rsidRPr="00623182">
        <w:rPr>
          <w:rFonts w:ascii="Times New Roman" w:hAnsi="Times New Roman" w:cs="Times New Roman"/>
          <w:sz w:val="24"/>
          <w:szCs w:val="24"/>
        </w:rPr>
        <w:t xml:space="preserve"> the terminating date</w:t>
      </w:r>
      <w:r w:rsidR="008075FA" w:rsidRPr="00623182">
        <w:rPr>
          <w:rFonts w:ascii="Times New Roman" w:hAnsi="Times New Roman" w:cs="Times New Roman"/>
          <w:sz w:val="24"/>
          <w:szCs w:val="24"/>
        </w:rPr>
        <w:t xml:space="preserve">. </w:t>
      </w:r>
      <w:r w:rsidR="00981AB5" w:rsidRPr="00623182">
        <w:rPr>
          <w:rFonts w:ascii="Times New Roman" w:hAnsi="Times New Roman" w:cs="Times New Roman"/>
          <w:sz w:val="24"/>
          <w:szCs w:val="24"/>
        </w:rPr>
        <w:t>And clause 34 (4) prescribes that:</w:t>
      </w:r>
    </w:p>
    <w:p w:rsidR="00530C7F" w:rsidRDefault="00981AB5" w:rsidP="00530C7F">
      <w:pPr>
        <w:spacing w:after="0" w:line="240" w:lineRule="auto"/>
        <w:ind w:left="720"/>
        <w:jc w:val="both"/>
        <w:rPr>
          <w:rFonts w:ascii="Times New Roman" w:hAnsi="Times New Roman" w:cs="Times New Roman"/>
        </w:rPr>
      </w:pPr>
      <w:r w:rsidRPr="00530C7F">
        <w:rPr>
          <w:rFonts w:ascii="Times New Roman" w:hAnsi="Times New Roman" w:cs="Times New Roman"/>
        </w:rPr>
        <w:t xml:space="preserve">“At the discretion of the employer a contract worker who is employed for a continuous period of more than 3 months, shall participate in the </w:t>
      </w:r>
      <w:r w:rsidR="00A1201F" w:rsidRPr="00530C7F">
        <w:rPr>
          <w:rFonts w:ascii="Times New Roman" w:hAnsi="Times New Roman" w:cs="Times New Roman"/>
        </w:rPr>
        <w:t xml:space="preserve">Mining Industry Pension Fund, </w:t>
      </w:r>
      <w:r w:rsidRPr="00530C7F">
        <w:rPr>
          <w:rFonts w:ascii="Times New Roman" w:hAnsi="Times New Roman" w:cs="Times New Roman"/>
        </w:rPr>
        <w:t>MIPF</w:t>
      </w:r>
      <w:r w:rsidR="00A1201F" w:rsidRPr="00530C7F">
        <w:rPr>
          <w:rFonts w:ascii="Times New Roman" w:hAnsi="Times New Roman" w:cs="Times New Roman"/>
        </w:rPr>
        <w:t>,</w:t>
      </w:r>
      <w:r w:rsidRPr="00530C7F">
        <w:rPr>
          <w:rFonts w:ascii="Times New Roman" w:hAnsi="Times New Roman" w:cs="Times New Roman"/>
        </w:rPr>
        <w:t xml:space="preserve"> in accordance with the rules of the Fund or be paid a gratuity of 5% of the employee’s total basic earnings during the duration of the contract in lieu of the employer’s contribution to the MIPF.”</w:t>
      </w:r>
    </w:p>
    <w:p w:rsidR="00981AB5" w:rsidRPr="00530C7F" w:rsidRDefault="00981AB5" w:rsidP="00530C7F">
      <w:pPr>
        <w:spacing w:after="0" w:line="240" w:lineRule="auto"/>
        <w:ind w:left="405"/>
        <w:jc w:val="both"/>
        <w:rPr>
          <w:rFonts w:ascii="Times New Roman" w:hAnsi="Times New Roman" w:cs="Times New Roman"/>
        </w:rPr>
      </w:pPr>
      <w:r w:rsidRPr="00530C7F">
        <w:rPr>
          <w:rFonts w:ascii="Times New Roman" w:hAnsi="Times New Roman" w:cs="Times New Roman"/>
        </w:rPr>
        <w:t xml:space="preserve"> </w:t>
      </w:r>
    </w:p>
    <w:p w:rsidR="00014642" w:rsidRPr="00623182" w:rsidRDefault="00530C7F" w:rsidP="00530C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1201F" w:rsidRPr="00623182">
        <w:rPr>
          <w:rFonts w:ascii="Times New Roman" w:hAnsi="Times New Roman" w:cs="Times New Roman"/>
          <w:sz w:val="24"/>
          <w:szCs w:val="24"/>
        </w:rPr>
        <w:t xml:space="preserve">It is clear from the above cited sub clause that gratuities were not paid to a potentially qualifying employee who joined the MIPF but to the one who did not join the Fund. </w:t>
      </w:r>
      <w:r w:rsidR="00EE3F48" w:rsidRPr="00623182">
        <w:rPr>
          <w:rFonts w:ascii="Times New Roman" w:hAnsi="Times New Roman" w:cs="Times New Roman"/>
          <w:sz w:val="24"/>
          <w:szCs w:val="24"/>
        </w:rPr>
        <w:t>The gratuity was payabl</w:t>
      </w:r>
      <w:r w:rsidR="00DF4098">
        <w:rPr>
          <w:rFonts w:ascii="Times New Roman" w:hAnsi="Times New Roman" w:cs="Times New Roman"/>
          <w:sz w:val="24"/>
          <w:szCs w:val="24"/>
        </w:rPr>
        <w:t xml:space="preserve">e during the subsistence </w:t>
      </w:r>
      <w:r w:rsidR="00EE3F48" w:rsidRPr="00623182">
        <w:rPr>
          <w:rFonts w:ascii="Times New Roman" w:hAnsi="Times New Roman" w:cs="Times New Roman"/>
          <w:sz w:val="24"/>
          <w:szCs w:val="24"/>
        </w:rPr>
        <w:t xml:space="preserve">of the employment contract at 5% of the employee’s total basic earnings. </w:t>
      </w:r>
      <w:r w:rsidR="00DF4098">
        <w:rPr>
          <w:rFonts w:ascii="Times New Roman" w:hAnsi="Times New Roman" w:cs="Times New Roman"/>
          <w:sz w:val="24"/>
          <w:szCs w:val="24"/>
        </w:rPr>
        <w:t>B</w:t>
      </w:r>
      <w:r w:rsidR="00EE3F48" w:rsidRPr="00623182">
        <w:rPr>
          <w:rFonts w:ascii="Times New Roman" w:hAnsi="Times New Roman" w:cs="Times New Roman"/>
          <w:sz w:val="24"/>
          <w:szCs w:val="24"/>
        </w:rPr>
        <w:t>asic earnings is defined in clause 1 of the CBA</w:t>
      </w:r>
      <w:r w:rsidR="00DF4098">
        <w:rPr>
          <w:rFonts w:ascii="Times New Roman" w:hAnsi="Times New Roman" w:cs="Times New Roman"/>
          <w:sz w:val="24"/>
          <w:szCs w:val="24"/>
        </w:rPr>
        <w:t>,</w:t>
      </w:r>
      <w:r w:rsidR="00EE3F48" w:rsidRPr="00623182">
        <w:rPr>
          <w:rFonts w:ascii="Times New Roman" w:hAnsi="Times New Roman" w:cs="Times New Roman"/>
          <w:sz w:val="24"/>
          <w:szCs w:val="24"/>
        </w:rPr>
        <w:t xml:space="preserve"> as the wages or salaries earned by an employee and excludes bonuses, allowances, commissions</w:t>
      </w:r>
      <w:r w:rsidR="008915EC" w:rsidRPr="00623182">
        <w:rPr>
          <w:rFonts w:ascii="Times New Roman" w:hAnsi="Times New Roman" w:cs="Times New Roman"/>
          <w:sz w:val="24"/>
          <w:szCs w:val="24"/>
        </w:rPr>
        <w:t xml:space="preserve"> and other extra payments. The payslips produced on appeal by the appellant demonstrated that the employees were paid monthly in arrears</w:t>
      </w:r>
      <w:r w:rsidR="001D7CA9" w:rsidRPr="00623182">
        <w:rPr>
          <w:rFonts w:ascii="Times New Roman" w:hAnsi="Times New Roman" w:cs="Times New Roman"/>
          <w:sz w:val="24"/>
          <w:szCs w:val="24"/>
        </w:rPr>
        <w:t xml:space="preserve"> but I suppose it was not precluded by law to pay its contract employees per shift, daily or weekly.</w:t>
      </w:r>
      <w:r w:rsidR="008915EC" w:rsidRPr="00623182">
        <w:rPr>
          <w:rFonts w:ascii="Times New Roman" w:hAnsi="Times New Roman" w:cs="Times New Roman"/>
          <w:sz w:val="24"/>
          <w:szCs w:val="24"/>
        </w:rPr>
        <w:t xml:space="preserve"> It seems to me that the appellant had an unconditional obligation to pay the gratuities during the subsistence of contract on </w:t>
      </w:r>
      <w:r w:rsidR="001D7CA9" w:rsidRPr="00623182">
        <w:rPr>
          <w:rFonts w:ascii="Times New Roman" w:hAnsi="Times New Roman" w:cs="Times New Roman"/>
          <w:sz w:val="24"/>
          <w:szCs w:val="24"/>
        </w:rPr>
        <w:t xml:space="preserve">the basis of whatever period it paid the basic earnings. But whatever that period was clause 34 (4) </w:t>
      </w:r>
      <w:r w:rsidR="001D7CA9" w:rsidRPr="00623182">
        <w:rPr>
          <w:rFonts w:ascii="Times New Roman" w:hAnsi="Times New Roman" w:cs="Times New Roman"/>
          <w:sz w:val="24"/>
          <w:szCs w:val="24"/>
        </w:rPr>
        <w:lastRenderedPageBreak/>
        <w:t xml:space="preserve">imposed by operation of law an unconditional obligation to pay the gratuity due to the contract employee during the course of each financial year by 30 September. Any payments allocated outside the financial year end would constitute provisions which would be payable in future once the employee fulfilled the </w:t>
      </w:r>
      <w:r w:rsidR="00A30055" w:rsidRPr="00623182">
        <w:rPr>
          <w:rFonts w:ascii="Times New Roman" w:hAnsi="Times New Roman" w:cs="Times New Roman"/>
          <w:sz w:val="24"/>
          <w:szCs w:val="24"/>
        </w:rPr>
        <w:t xml:space="preserve">implicit and </w:t>
      </w:r>
      <w:r w:rsidR="001D7CA9" w:rsidRPr="00623182">
        <w:rPr>
          <w:rFonts w:ascii="Times New Roman" w:hAnsi="Times New Roman" w:cs="Times New Roman"/>
          <w:sz w:val="24"/>
          <w:szCs w:val="24"/>
        </w:rPr>
        <w:t xml:space="preserve">underlying </w:t>
      </w:r>
      <w:r w:rsidR="00F67D8E" w:rsidRPr="00623182">
        <w:rPr>
          <w:rFonts w:ascii="Times New Roman" w:hAnsi="Times New Roman" w:cs="Times New Roman"/>
          <w:sz w:val="24"/>
          <w:szCs w:val="24"/>
        </w:rPr>
        <w:t xml:space="preserve">contractual </w:t>
      </w:r>
      <w:r w:rsidR="001D7CA9" w:rsidRPr="00623182">
        <w:rPr>
          <w:rFonts w:ascii="Times New Roman" w:hAnsi="Times New Roman" w:cs="Times New Roman"/>
          <w:sz w:val="24"/>
          <w:szCs w:val="24"/>
        </w:rPr>
        <w:t>condition of rendering service to the appell</w:t>
      </w:r>
      <w:r w:rsidR="00A30055" w:rsidRPr="00623182">
        <w:rPr>
          <w:rFonts w:ascii="Times New Roman" w:hAnsi="Times New Roman" w:cs="Times New Roman"/>
          <w:sz w:val="24"/>
          <w:szCs w:val="24"/>
        </w:rPr>
        <w:t xml:space="preserve">ant in the future. </w:t>
      </w:r>
      <w:r w:rsidR="00A21C8E" w:rsidRPr="00623182">
        <w:rPr>
          <w:rFonts w:ascii="Times New Roman" w:hAnsi="Times New Roman" w:cs="Times New Roman"/>
          <w:sz w:val="24"/>
          <w:szCs w:val="24"/>
        </w:rPr>
        <w:t xml:space="preserve">I therefore hold that the amounts in the blue columns of exhibit 2, which were described as “year-end accruals” had not been incurred in the respective tax years to which they </w:t>
      </w:r>
      <w:r w:rsidR="00AA2CCE">
        <w:rPr>
          <w:rFonts w:ascii="Times New Roman" w:hAnsi="Times New Roman" w:cs="Times New Roman"/>
          <w:sz w:val="24"/>
          <w:szCs w:val="24"/>
        </w:rPr>
        <w:t xml:space="preserve">were </w:t>
      </w:r>
      <w:r w:rsidR="00A21C8E" w:rsidRPr="00623182">
        <w:rPr>
          <w:rFonts w:ascii="Times New Roman" w:hAnsi="Times New Roman" w:cs="Times New Roman"/>
          <w:sz w:val="24"/>
          <w:szCs w:val="24"/>
        </w:rPr>
        <w:t xml:space="preserve">made. </w:t>
      </w:r>
      <w:r w:rsidR="00AA2CCE" w:rsidRPr="00623182">
        <w:rPr>
          <w:rFonts w:ascii="Times New Roman" w:hAnsi="Times New Roman" w:cs="Times New Roman"/>
          <w:sz w:val="24"/>
          <w:szCs w:val="24"/>
        </w:rPr>
        <w:t xml:space="preserve">Indeed clause 18 of appellant’s case constitutes a concession that the legal obligation to pay the gratuities took place at </w:t>
      </w:r>
      <w:r w:rsidR="00AA2CCE">
        <w:rPr>
          <w:rFonts w:ascii="Times New Roman" w:hAnsi="Times New Roman" w:cs="Times New Roman"/>
          <w:sz w:val="24"/>
          <w:szCs w:val="24"/>
        </w:rPr>
        <w:t xml:space="preserve">the end of each financial year. </w:t>
      </w:r>
      <w:r w:rsidR="00A21C8E" w:rsidRPr="00623182">
        <w:rPr>
          <w:rFonts w:ascii="Times New Roman" w:hAnsi="Times New Roman" w:cs="Times New Roman"/>
          <w:sz w:val="24"/>
          <w:szCs w:val="24"/>
        </w:rPr>
        <w:t xml:space="preserve">I agree with Mr </w:t>
      </w:r>
      <w:r w:rsidR="00A21C8E" w:rsidRPr="00AA2CCE">
        <w:rPr>
          <w:rFonts w:ascii="Times New Roman" w:hAnsi="Times New Roman" w:cs="Times New Roman"/>
          <w:i/>
          <w:sz w:val="24"/>
          <w:szCs w:val="24"/>
        </w:rPr>
        <w:t>Magwaliba</w:t>
      </w:r>
      <w:r w:rsidR="00A21C8E" w:rsidRPr="00623182">
        <w:rPr>
          <w:rFonts w:ascii="Times New Roman" w:hAnsi="Times New Roman" w:cs="Times New Roman"/>
          <w:sz w:val="24"/>
          <w:szCs w:val="24"/>
        </w:rPr>
        <w:t xml:space="preserve"> that they were mere provisions made for a future eventuality. </w:t>
      </w:r>
    </w:p>
    <w:p w:rsidR="00D62950" w:rsidRPr="00C35580" w:rsidRDefault="00581DFE" w:rsidP="00530C7F">
      <w:pPr>
        <w:spacing w:after="0" w:line="360" w:lineRule="auto"/>
        <w:jc w:val="both"/>
        <w:rPr>
          <w:rFonts w:ascii="Times New Roman" w:hAnsi="Times New Roman" w:cs="Times New Roman"/>
          <w:i/>
          <w:sz w:val="24"/>
          <w:szCs w:val="24"/>
        </w:rPr>
      </w:pPr>
      <w:r w:rsidRPr="00C35580">
        <w:rPr>
          <w:rFonts w:ascii="Times New Roman" w:hAnsi="Times New Roman" w:cs="Times New Roman"/>
          <w:i/>
          <w:sz w:val="24"/>
          <w:szCs w:val="24"/>
        </w:rPr>
        <w:t>The amounts actually paid in the tax year and those provided for the subsequent year</w:t>
      </w:r>
    </w:p>
    <w:p w:rsidR="00F3320C" w:rsidRPr="00623182" w:rsidRDefault="00AC7997" w:rsidP="00530C7F">
      <w:pPr>
        <w:spacing w:after="0" w:line="360" w:lineRule="auto"/>
        <w:ind w:firstLine="720"/>
        <w:jc w:val="both"/>
        <w:rPr>
          <w:rFonts w:ascii="Times New Roman" w:hAnsi="Times New Roman" w:cs="Times New Roman"/>
          <w:sz w:val="24"/>
          <w:szCs w:val="24"/>
        </w:rPr>
      </w:pPr>
      <w:r w:rsidRPr="00623182">
        <w:rPr>
          <w:rFonts w:ascii="Times New Roman" w:hAnsi="Times New Roman" w:cs="Times New Roman"/>
          <w:sz w:val="24"/>
          <w:szCs w:val="24"/>
        </w:rPr>
        <w:t xml:space="preserve">All the disputed amounts were summarised in </w:t>
      </w:r>
      <w:r w:rsidR="00C76D4D" w:rsidRPr="00623182">
        <w:rPr>
          <w:rFonts w:ascii="Times New Roman" w:hAnsi="Times New Roman" w:cs="Times New Roman"/>
          <w:sz w:val="24"/>
          <w:szCs w:val="24"/>
        </w:rPr>
        <w:t xml:space="preserve">exhibit </w:t>
      </w:r>
      <w:r w:rsidRPr="00623182">
        <w:rPr>
          <w:rFonts w:ascii="Times New Roman" w:hAnsi="Times New Roman" w:cs="Times New Roman"/>
          <w:sz w:val="24"/>
          <w:szCs w:val="24"/>
        </w:rPr>
        <w:t xml:space="preserve">2 by the first witness called by the appellant. I have already indicated what the white and blue columns represented. </w:t>
      </w:r>
      <w:r w:rsidR="00C76D4D" w:rsidRPr="00623182">
        <w:rPr>
          <w:rFonts w:ascii="Times New Roman" w:hAnsi="Times New Roman" w:cs="Times New Roman"/>
          <w:sz w:val="24"/>
          <w:szCs w:val="24"/>
        </w:rPr>
        <w:t>These amounts were extrapolated by the first witness from the journals on pp 48 to 72 of the r</w:t>
      </w:r>
      <w:r w:rsidR="00FE79E0">
        <w:rPr>
          <w:rFonts w:ascii="Times New Roman" w:hAnsi="Times New Roman" w:cs="Times New Roman"/>
          <w:sz w:val="24"/>
          <w:szCs w:val="24"/>
        </w:rPr>
        <w:t xml:space="preserve"> </w:t>
      </w:r>
      <w:r w:rsidR="00AF40E4">
        <w:rPr>
          <w:rFonts w:ascii="Times New Roman" w:hAnsi="Times New Roman" w:cs="Times New Roman"/>
          <w:sz w:val="24"/>
          <w:szCs w:val="24"/>
        </w:rPr>
        <w:t xml:space="preserve">11 documents, which </w:t>
      </w:r>
      <w:r w:rsidR="00C76D4D" w:rsidRPr="00623182">
        <w:rPr>
          <w:rFonts w:ascii="Times New Roman" w:hAnsi="Times New Roman" w:cs="Times New Roman"/>
          <w:sz w:val="24"/>
          <w:szCs w:val="24"/>
        </w:rPr>
        <w:t xml:space="preserve">documents were supplied by the appellant to the respondent’s Regional Manager on 1 July 2015.  </w:t>
      </w:r>
      <w:r w:rsidR="00326AB1" w:rsidRPr="00623182">
        <w:rPr>
          <w:rFonts w:ascii="Times New Roman" w:hAnsi="Times New Roman" w:cs="Times New Roman"/>
          <w:sz w:val="24"/>
          <w:szCs w:val="24"/>
        </w:rPr>
        <w:t>There a</w:t>
      </w:r>
      <w:r w:rsidR="00581DFE" w:rsidRPr="00623182">
        <w:rPr>
          <w:rFonts w:ascii="Times New Roman" w:hAnsi="Times New Roman" w:cs="Times New Roman"/>
          <w:sz w:val="24"/>
          <w:szCs w:val="24"/>
        </w:rPr>
        <w:t xml:space="preserve">re 9 rows </w:t>
      </w:r>
      <w:r w:rsidR="00326AB1" w:rsidRPr="00623182">
        <w:rPr>
          <w:rFonts w:ascii="Times New Roman" w:hAnsi="Times New Roman" w:cs="Times New Roman"/>
          <w:sz w:val="24"/>
          <w:szCs w:val="24"/>
        </w:rPr>
        <w:t xml:space="preserve">in exhibit 2 </w:t>
      </w:r>
      <w:r w:rsidR="00581DFE" w:rsidRPr="00623182">
        <w:rPr>
          <w:rFonts w:ascii="Times New Roman" w:hAnsi="Times New Roman" w:cs="Times New Roman"/>
          <w:sz w:val="24"/>
          <w:szCs w:val="24"/>
        </w:rPr>
        <w:t xml:space="preserve">covering gratuities, bonus and leave bonus, cash </w:t>
      </w:r>
      <w:r w:rsidR="00581DFE" w:rsidRPr="007D524E">
        <w:rPr>
          <w:rFonts w:ascii="Times New Roman" w:hAnsi="Times New Roman" w:cs="Times New Roman"/>
          <w:i/>
          <w:sz w:val="24"/>
          <w:szCs w:val="24"/>
        </w:rPr>
        <w:t>in lieu</w:t>
      </w:r>
      <w:r w:rsidR="00581DFE" w:rsidRPr="00623182">
        <w:rPr>
          <w:rFonts w:ascii="Times New Roman" w:hAnsi="Times New Roman" w:cs="Times New Roman"/>
          <w:sz w:val="24"/>
          <w:szCs w:val="24"/>
        </w:rPr>
        <w:t xml:space="preserve"> of leave, CILL, actual pay roll, a</w:t>
      </w:r>
      <w:r w:rsidR="007D524E">
        <w:rPr>
          <w:rFonts w:ascii="Times New Roman" w:hAnsi="Times New Roman" w:cs="Times New Roman"/>
          <w:sz w:val="24"/>
          <w:szCs w:val="24"/>
        </w:rPr>
        <w:t>ctual accruals, PAYE, Aids levy</w:t>
      </w:r>
      <w:r w:rsidR="00581DFE" w:rsidRPr="00623182">
        <w:rPr>
          <w:rFonts w:ascii="Times New Roman" w:hAnsi="Times New Roman" w:cs="Times New Roman"/>
          <w:sz w:val="24"/>
          <w:szCs w:val="24"/>
        </w:rPr>
        <w:t>, totals paid to the respondent and the approximate number of employees of the appellant in each financial year under consideration.</w:t>
      </w:r>
      <w:r w:rsidR="00AD0729" w:rsidRPr="00623182">
        <w:rPr>
          <w:rFonts w:ascii="Times New Roman" w:hAnsi="Times New Roman" w:cs="Times New Roman"/>
          <w:sz w:val="24"/>
          <w:szCs w:val="24"/>
        </w:rPr>
        <w:t xml:space="preserve"> The total accruals in blue in 2009 were US$624 213.85 against the amount actually</w:t>
      </w:r>
      <w:r w:rsidR="00326AB1" w:rsidRPr="00623182">
        <w:rPr>
          <w:rFonts w:ascii="Times New Roman" w:hAnsi="Times New Roman" w:cs="Times New Roman"/>
          <w:sz w:val="24"/>
          <w:szCs w:val="24"/>
        </w:rPr>
        <w:t xml:space="preserve"> paid in white of US$155 005.74. </w:t>
      </w:r>
      <w:r w:rsidR="00AD0729" w:rsidRPr="00623182">
        <w:rPr>
          <w:rFonts w:ascii="Times New Roman" w:hAnsi="Times New Roman" w:cs="Times New Roman"/>
          <w:sz w:val="24"/>
          <w:szCs w:val="24"/>
        </w:rPr>
        <w:t xml:space="preserve">The </w:t>
      </w:r>
      <w:r w:rsidR="00D40626" w:rsidRPr="00623182">
        <w:rPr>
          <w:rFonts w:ascii="Times New Roman" w:hAnsi="Times New Roman" w:cs="Times New Roman"/>
          <w:sz w:val="24"/>
          <w:szCs w:val="24"/>
        </w:rPr>
        <w:t>respective blue</w:t>
      </w:r>
      <w:r w:rsidR="00AD0729" w:rsidRPr="00623182">
        <w:rPr>
          <w:rFonts w:ascii="Times New Roman" w:hAnsi="Times New Roman" w:cs="Times New Roman"/>
          <w:sz w:val="24"/>
          <w:szCs w:val="24"/>
        </w:rPr>
        <w:t xml:space="preserve"> and white figures in 2010 were US$ 161 109.11 and US$380 </w:t>
      </w:r>
      <w:r w:rsidR="00166610" w:rsidRPr="00623182">
        <w:rPr>
          <w:rFonts w:ascii="Times New Roman" w:hAnsi="Times New Roman" w:cs="Times New Roman"/>
          <w:sz w:val="24"/>
          <w:szCs w:val="24"/>
        </w:rPr>
        <w:t>887.34,</w:t>
      </w:r>
      <w:r w:rsidR="00AD0729" w:rsidRPr="00623182">
        <w:rPr>
          <w:rFonts w:ascii="Times New Roman" w:hAnsi="Times New Roman" w:cs="Times New Roman"/>
          <w:sz w:val="24"/>
          <w:szCs w:val="24"/>
        </w:rPr>
        <w:t xml:space="preserve"> in 2011 were US$ 365 672.06 and US$1 004 296.72 and lastly</w:t>
      </w:r>
      <w:r w:rsidR="007D524E">
        <w:rPr>
          <w:rFonts w:ascii="Times New Roman" w:hAnsi="Times New Roman" w:cs="Times New Roman"/>
          <w:sz w:val="24"/>
          <w:szCs w:val="24"/>
        </w:rPr>
        <w:t>,</w:t>
      </w:r>
      <w:r w:rsidR="00AD0729" w:rsidRPr="00623182">
        <w:rPr>
          <w:rFonts w:ascii="Times New Roman" w:hAnsi="Times New Roman" w:cs="Times New Roman"/>
          <w:sz w:val="24"/>
          <w:szCs w:val="24"/>
        </w:rPr>
        <w:t xml:space="preserve"> in 2012 were US$ 367 172.97 and US$ 365 672.06. </w:t>
      </w:r>
      <w:r w:rsidR="007D6E22" w:rsidRPr="00623182">
        <w:rPr>
          <w:rFonts w:ascii="Times New Roman" w:hAnsi="Times New Roman" w:cs="Times New Roman"/>
          <w:sz w:val="24"/>
          <w:szCs w:val="24"/>
        </w:rPr>
        <w:t xml:space="preserve"> The approximate </w:t>
      </w:r>
      <w:r w:rsidR="005D6F97" w:rsidRPr="00623182">
        <w:rPr>
          <w:rFonts w:ascii="Times New Roman" w:hAnsi="Times New Roman" w:cs="Times New Roman"/>
          <w:sz w:val="24"/>
          <w:szCs w:val="24"/>
        </w:rPr>
        <w:t>number of employees was</w:t>
      </w:r>
      <w:r w:rsidR="007D6E22" w:rsidRPr="00623182">
        <w:rPr>
          <w:rFonts w:ascii="Times New Roman" w:hAnsi="Times New Roman" w:cs="Times New Roman"/>
          <w:sz w:val="24"/>
          <w:szCs w:val="24"/>
        </w:rPr>
        <w:t xml:space="preserve"> 316 in 2009, and 314 in 2010 and </w:t>
      </w:r>
      <w:r w:rsidR="00166610" w:rsidRPr="00623182">
        <w:rPr>
          <w:rFonts w:ascii="Times New Roman" w:hAnsi="Times New Roman" w:cs="Times New Roman"/>
          <w:sz w:val="24"/>
          <w:szCs w:val="24"/>
        </w:rPr>
        <w:t xml:space="preserve">352 and 387 in 2011 and 2012, respectively. </w:t>
      </w:r>
      <w:r w:rsidR="00496084" w:rsidRPr="00623182">
        <w:rPr>
          <w:rFonts w:ascii="Times New Roman" w:hAnsi="Times New Roman" w:cs="Times New Roman"/>
          <w:sz w:val="24"/>
          <w:szCs w:val="24"/>
        </w:rPr>
        <w:t xml:space="preserve">The total of the PAYE and AIDS levy paid to the respondent in each year was US$ 433 061.83, US$ 696 951.56, US$ 1 166 167.47 and US$ 1 265 726.17 respectively. </w:t>
      </w:r>
      <w:r w:rsidR="006B775A" w:rsidRPr="00623182">
        <w:rPr>
          <w:rFonts w:ascii="Times New Roman" w:hAnsi="Times New Roman" w:cs="Times New Roman"/>
          <w:sz w:val="24"/>
          <w:szCs w:val="24"/>
        </w:rPr>
        <w:t xml:space="preserve"> </w:t>
      </w:r>
    </w:p>
    <w:p w:rsidR="00326AB1" w:rsidRPr="00623182" w:rsidRDefault="00326AB1" w:rsidP="00530C7F">
      <w:pPr>
        <w:spacing w:after="0" w:line="360" w:lineRule="auto"/>
        <w:jc w:val="both"/>
        <w:rPr>
          <w:rFonts w:ascii="Times New Roman" w:hAnsi="Times New Roman" w:cs="Times New Roman"/>
          <w:sz w:val="24"/>
          <w:szCs w:val="24"/>
          <w:u w:val="single"/>
        </w:rPr>
      </w:pPr>
      <w:r w:rsidRPr="00623182">
        <w:rPr>
          <w:rFonts w:ascii="Times New Roman" w:hAnsi="Times New Roman" w:cs="Times New Roman"/>
          <w:sz w:val="24"/>
          <w:szCs w:val="24"/>
          <w:u w:val="single"/>
        </w:rPr>
        <w:t>Conclusion on the first issue</w:t>
      </w:r>
    </w:p>
    <w:p w:rsidR="00326AB1" w:rsidRPr="00623182" w:rsidRDefault="00530C7F" w:rsidP="00530C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D7AF1" w:rsidRPr="00623182">
        <w:rPr>
          <w:rFonts w:ascii="Times New Roman" w:hAnsi="Times New Roman" w:cs="Times New Roman"/>
          <w:sz w:val="24"/>
          <w:szCs w:val="24"/>
        </w:rPr>
        <w:t xml:space="preserve">I would have found the </w:t>
      </w:r>
      <w:r w:rsidR="00326AB1" w:rsidRPr="00623182">
        <w:rPr>
          <w:rFonts w:ascii="Times New Roman" w:hAnsi="Times New Roman" w:cs="Times New Roman"/>
          <w:sz w:val="24"/>
          <w:szCs w:val="24"/>
        </w:rPr>
        <w:t>deductions</w:t>
      </w:r>
      <w:r w:rsidR="001D7AF1" w:rsidRPr="00623182">
        <w:rPr>
          <w:rFonts w:ascii="Times New Roman" w:hAnsi="Times New Roman" w:cs="Times New Roman"/>
          <w:sz w:val="24"/>
          <w:szCs w:val="24"/>
        </w:rPr>
        <w:t xml:space="preserve"> in blue columns in exhibit 2 claimed</w:t>
      </w:r>
      <w:r w:rsidR="00326AB1" w:rsidRPr="00623182">
        <w:rPr>
          <w:rFonts w:ascii="Times New Roman" w:hAnsi="Times New Roman" w:cs="Times New Roman"/>
          <w:sz w:val="24"/>
          <w:szCs w:val="24"/>
        </w:rPr>
        <w:t xml:space="preserve"> in each of the tax years in question to have been provisions even if the appellant had not made the admissions it did in its pleadings. I, therefore answer the first issue in favour of the Commissioner. </w:t>
      </w:r>
    </w:p>
    <w:p w:rsidR="00F3320C" w:rsidRPr="00623182" w:rsidRDefault="00F3320C" w:rsidP="00530C7F">
      <w:pPr>
        <w:spacing w:after="0" w:line="360" w:lineRule="auto"/>
        <w:ind w:left="360"/>
        <w:jc w:val="both"/>
        <w:rPr>
          <w:rFonts w:ascii="Times New Roman" w:hAnsi="Times New Roman" w:cs="Times New Roman"/>
          <w:i/>
          <w:sz w:val="24"/>
          <w:szCs w:val="24"/>
        </w:rPr>
      </w:pPr>
      <w:r w:rsidRPr="00623182">
        <w:rPr>
          <w:rFonts w:ascii="Times New Roman" w:hAnsi="Times New Roman" w:cs="Times New Roman"/>
          <w:i/>
          <w:sz w:val="24"/>
          <w:szCs w:val="24"/>
        </w:rPr>
        <w:t xml:space="preserve">Whether or not the amounts claimed by the appellant in respect of pay in lieu of leave bonuses and gratuity due to employees had, in the tax years 2009 to 2012 been incurred </w:t>
      </w:r>
      <w:r w:rsidRPr="00623182">
        <w:rPr>
          <w:rFonts w:ascii="Times New Roman" w:hAnsi="Times New Roman" w:cs="Times New Roman"/>
          <w:i/>
          <w:sz w:val="24"/>
          <w:szCs w:val="24"/>
        </w:rPr>
        <w:lastRenderedPageBreak/>
        <w:t>(in the sense of the appellant’s liability to make payment becoming absolute) at the time a deduction of these expenses were claimed by appellant in terms of s 15 (2) (a) of the Income Tax Act</w:t>
      </w:r>
    </w:p>
    <w:p w:rsidR="00F3320C" w:rsidRPr="00623182" w:rsidRDefault="00530C7F" w:rsidP="00530C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3320C" w:rsidRPr="00623182">
        <w:rPr>
          <w:rFonts w:ascii="Times New Roman" w:hAnsi="Times New Roman" w:cs="Times New Roman"/>
          <w:sz w:val="24"/>
          <w:szCs w:val="24"/>
        </w:rPr>
        <w:t>The appellant failed to establish tha</w:t>
      </w:r>
      <w:r w:rsidR="00B21DEE" w:rsidRPr="00623182">
        <w:rPr>
          <w:rFonts w:ascii="Times New Roman" w:hAnsi="Times New Roman" w:cs="Times New Roman"/>
          <w:sz w:val="24"/>
          <w:szCs w:val="24"/>
        </w:rPr>
        <w:t>t these items were incurred in the particular tax years in which the deductions were claimed.</w:t>
      </w:r>
      <w:r w:rsidR="003E17F6" w:rsidRPr="00623182">
        <w:rPr>
          <w:rFonts w:ascii="Times New Roman" w:hAnsi="Times New Roman" w:cs="Times New Roman"/>
          <w:sz w:val="24"/>
          <w:szCs w:val="24"/>
        </w:rPr>
        <w:t xml:space="preserve"> </w:t>
      </w:r>
      <w:r w:rsidR="00981D9D" w:rsidRPr="00623182">
        <w:rPr>
          <w:rFonts w:ascii="Times New Roman" w:hAnsi="Times New Roman" w:cs="Times New Roman"/>
          <w:sz w:val="24"/>
          <w:szCs w:val="24"/>
        </w:rPr>
        <w:t xml:space="preserve">Mr </w:t>
      </w:r>
      <w:r w:rsidR="00981D9D" w:rsidRPr="00623182">
        <w:rPr>
          <w:rFonts w:ascii="Times New Roman" w:hAnsi="Times New Roman" w:cs="Times New Roman"/>
          <w:i/>
          <w:sz w:val="24"/>
          <w:szCs w:val="24"/>
        </w:rPr>
        <w:t>Magwaliba</w:t>
      </w:r>
      <w:r w:rsidR="00981D9D" w:rsidRPr="00623182">
        <w:rPr>
          <w:rFonts w:ascii="Times New Roman" w:hAnsi="Times New Roman" w:cs="Times New Roman"/>
          <w:sz w:val="24"/>
          <w:szCs w:val="24"/>
        </w:rPr>
        <w:t xml:space="preserve"> also relied on s 16 (1) (e) of the Act to dispute the deductibility of the provisions under consideration.</w:t>
      </w:r>
      <w:r w:rsidR="00590CA0" w:rsidRPr="00623182">
        <w:rPr>
          <w:rFonts w:ascii="Times New Roman" w:hAnsi="Times New Roman" w:cs="Times New Roman"/>
          <w:sz w:val="24"/>
          <w:szCs w:val="24"/>
        </w:rPr>
        <w:t xml:space="preserve"> </w:t>
      </w:r>
      <w:r w:rsidR="00B44380" w:rsidRPr="00623182">
        <w:rPr>
          <w:rFonts w:ascii="Times New Roman" w:hAnsi="Times New Roman" w:cs="Times New Roman"/>
          <w:sz w:val="24"/>
          <w:szCs w:val="24"/>
        </w:rPr>
        <w:t xml:space="preserve">I agree with his submission </w:t>
      </w:r>
      <w:r w:rsidR="003E17F6" w:rsidRPr="00623182">
        <w:rPr>
          <w:rFonts w:ascii="Times New Roman" w:hAnsi="Times New Roman" w:cs="Times New Roman"/>
          <w:sz w:val="24"/>
          <w:szCs w:val="24"/>
        </w:rPr>
        <w:t xml:space="preserve">that the claimed deductions were in substance </w:t>
      </w:r>
      <w:r w:rsidR="00F378AF">
        <w:rPr>
          <w:rFonts w:ascii="Times New Roman" w:hAnsi="Times New Roman" w:cs="Times New Roman"/>
          <w:sz w:val="24"/>
          <w:szCs w:val="24"/>
        </w:rPr>
        <w:t xml:space="preserve">analogous to </w:t>
      </w:r>
      <w:r w:rsidR="003E17F6" w:rsidRPr="00623182">
        <w:rPr>
          <w:rFonts w:ascii="Times New Roman" w:hAnsi="Times New Roman" w:cs="Times New Roman"/>
          <w:sz w:val="24"/>
          <w:szCs w:val="24"/>
        </w:rPr>
        <w:t>provis</w:t>
      </w:r>
      <w:r w:rsidR="00B44380" w:rsidRPr="00623182">
        <w:rPr>
          <w:rFonts w:ascii="Times New Roman" w:hAnsi="Times New Roman" w:cs="Times New Roman"/>
          <w:sz w:val="24"/>
          <w:szCs w:val="24"/>
        </w:rPr>
        <w:t xml:space="preserve">ions carried into reserve, which could </w:t>
      </w:r>
      <w:r w:rsidR="003F799E" w:rsidRPr="00623182">
        <w:rPr>
          <w:rFonts w:ascii="Times New Roman" w:hAnsi="Times New Roman" w:cs="Times New Roman"/>
          <w:sz w:val="24"/>
          <w:szCs w:val="24"/>
        </w:rPr>
        <w:t>not</w:t>
      </w:r>
      <w:r w:rsidR="003E17F6" w:rsidRPr="00623182">
        <w:rPr>
          <w:rFonts w:ascii="Times New Roman" w:hAnsi="Times New Roman" w:cs="Times New Roman"/>
          <w:sz w:val="24"/>
          <w:szCs w:val="24"/>
        </w:rPr>
        <w:t xml:space="preserve"> be deducted from income i</w:t>
      </w:r>
      <w:r w:rsidR="00F378AF">
        <w:rPr>
          <w:rFonts w:ascii="Times New Roman" w:hAnsi="Times New Roman" w:cs="Times New Roman"/>
          <w:sz w:val="24"/>
          <w:szCs w:val="24"/>
        </w:rPr>
        <w:t xml:space="preserve">n terms of s 16 (1) (e) </w:t>
      </w:r>
      <w:r w:rsidR="003E17F6" w:rsidRPr="00623182">
        <w:rPr>
          <w:rFonts w:ascii="Times New Roman" w:hAnsi="Times New Roman" w:cs="Times New Roman"/>
          <w:sz w:val="24"/>
          <w:szCs w:val="24"/>
        </w:rPr>
        <w:t>of the Income Tax Act.</w:t>
      </w:r>
    </w:p>
    <w:p w:rsidR="00DE359F" w:rsidRPr="00623182" w:rsidRDefault="00DE359F" w:rsidP="00530C7F">
      <w:pPr>
        <w:spacing w:after="0" w:line="360" w:lineRule="auto"/>
        <w:ind w:left="360"/>
        <w:jc w:val="both"/>
        <w:rPr>
          <w:rFonts w:ascii="Times New Roman" w:hAnsi="Times New Roman" w:cs="Times New Roman"/>
          <w:i/>
          <w:sz w:val="24"/>
          <w:szCs w:val="24"/>
        </w:rPr>
      </w:pPr>
      <w:r w:rsidRPr="00623182">
        <w:rPr>
          <w:rFonts w:ascii="Times New Roman" w:hAnsi="Times New Roman" w:cs="Times New Roman"/>
          <w:i/>
          <w:sz w:val="24"/>
          <w:szCs w:val="24"/>
        </w:rPr>
        <w:t xml:space="preserve">If they were provisions whether or not they could be deducted on the basis of a generally prevailing practice allowing deductions of provisions at the time the assessments were made </w:t>
      </w:r>
    </w:p>
    <w:p w:rsidR="00DE359F" w:rsidRPr="00623182" w:rsidRDefault="00530C7F" w:rsidP="00530C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E359F" w:rsidRPr="00623182">
        <w:rPr>
          <w:rFonts w:ascii="Times New Roman" w:hAnsi="Times New Roman" w:cs="Times New Roman"/>
          <w:sz w:val="24"/>
          <w:szCs w:val="24"/>
        </w:rPr>
        <w:t>The appellant contended in the alternative that if the court found the deductions to have been provisions, then it should also hold that the provisions were deducted in accordance with a practice generally prevailing in the respo</w:t>
      </w:r>
      <w:r w:rsidR="00C82F69" w:rsidRPr="00623182">
        <w:rPr>
          <w:rFonts w:ascii="Times New Roman" w:hAnsi="Times New Roman" w:cs="Times New Roman"/>
          <w:sz w:val="24"/>
          <w:szCs w:val="24"/>
        </w:rPr>
        <w:t xml:space="preserve">ndent’s office at the time the original </w:t>
      </w:r>
      <w:r w:rsidR="00DE359F" w:rsidRPr="00623182">
        <w:rPr>
          <w:rFonts w:ascii="Times New Roman" w:hAnsi="Times New Roman" w:cs="Times New Roman"/>
          <w:sz w:val="24"/>
          <w:szCs w:val="24"/>
        </w:rPr>
        <w:t>assessment</w:t>
      </w:r>
      <w:r w:rsidR="00336581">
        <w:rPr>
          <w:rFonts w:ascii="Times New Roman" w:hAnsi="Times New Roman" w:cs="Times New Roman"/>
          <w:sz w:val="24"/>
          <w:szCs w:val="24"/>
        </w:rPr>
        <w:t>s were made. It relied on</w:t>
      </w:r>
      <w:r w:rsidR="00DE359F" w:rsidRPr="00623182">
        <w:rPr>
          <w:rFonts w:ascii="Times New Roman" w:hAnsi="Times New Roman" w:cs="Times New Roman"/>
          <w:sz w:val="24"/>
          <w:szCs w:val="24"/>
        </w:rPr>
        <w:t xml:space="preserve"> proviso </w:t>
      </w:r>
      <w:r w:rsidR="00537D77" w:rsidRPr="00623182">
        <w:rPr>
          <w:rFonts w:ascii="Times New Roman" w:hAnsi="Times New Roman" w:cs="Times New Roman"/>
          <w:sz w:val="24"/>
          <w:szCs w:val="24"/>
        </w:rPr>
        <w:t xml:space="preserve">(i) to s 47 (1) of the Income Tax Act. It precludes the Commissioner from making adjustments or </w:t>
      </w:r>
      <w:r w:rsidR="00EF4C7E" w:rsidRPr="00623182">
        <w:rPr>
          <w:rFonts w:ascii="Times New Roman" w:hAnsi="Times New Roman" w:cs="Times New Roman"/>
          <w:sz w:val="24"/>
          <w:szCs w:val="24"/>
        </w:rPr>
        <w:t xml:space="preserve">a </w:t>
      </w:r>
      <w:r w:rsidR="00537D77" w:rsidRPr="00623182">
        <w:rPr>
          <w:rFonts w:ascii="Times New Roman" w:hAnsi="Times New Roman" w:cs="Times New Roman"/>
          <w:sz w:val="24"/>
          <w:szCs w:val="24"/>
        </w:rPr>
        <w:t>call upon the taxpayer to pay the correct tax</w:t>
      </w:r>
      <w:r w:rsidR="00C82F69" w:rsidRPr="00623182">
        <w:rPr>
          <w:rFonts w:ascii="Times New Roman" w:hAnsi="Times New Roman" w:cs="Times New Roman"/>
          <w:sz w:val="24"/>
          <w:szCs w:val="24"/>
        </w:rPr>
        <w:t xml:space="preserve"> </w:t>
      </w:r>
      <w:r w:rsidR="00537D77" w:rsidRPr="00623182">
        <w:rPr>
          <w:rFonts w:ascii="Times New Roman" w:hAnsi="Times New Roman" w:cs="Times New Roman"/>
          <w:sz w:val="24"/>
          <w:szCs w:val="24"/>
        </w:rPr>
        <w:t>if the original assessment was made in accordance with the practice generally prevailing at the time the assessment was made.</w:t>
      </w:r>
      <w:r w:rsidR="00C82F69" w:rsidRPr="00623182">
        <w:rPr>
          <w:rFonts w:ascii="Times New Roman" w:hAnsi="Times New Roman" w:cs="Times New Roman"/>
          <w:sz w:val="24"/>
          <w:szCs w:val="24"/>
        </w:rPr>
        <w:t xml:space="preserve"> The appellant contended that at the time each self-assessment was filed there was a practice generally prevailing of accepting deductions </w:t>
      </w:r>
      <w:r w:rsidR="00EF4C7E" w:rsidRPr="00623182">
        <w:rPr>
          <w:rFonts w:ascii="Times New Roman" w:hAnsi="Times New Roman" w:cs="Times New Roman"/>
          <w:sz w:val="24"/>
          <w:szCs w:val="24"/>
        </w:rPr>
        <w:t>pertaining to</w:t>
      </w:r>
      <w:r w:rsidR="00C82F69" w:rsidRPr="00623182">
        <w:rPr>
          <w:rFonts w:ascii="Times New Roman" w:hAnsi="Times New Roman" w:cs="Times New Roman"/>
          <w:sz w:val="24"/>
          <w:szCs w:val="24"/>
        </w:rPr>
        <w:t xml:space="preserve"> provisions.  The respondent disputed the existence of the practice post 1 </w:t>
      </w:r>
      <w:r w:rsidR="008A4C64" w:rsidRPr="00623182">
        <w:rPr>
          <w:rFonts w:ascii="Times New Roman" w:hAnsi="Times New Roman" w:cs="Times New Roman"/>
          <w:sz w:val="24"/>
          <w:szCs w:val="24"/>
        </w:rPr>
        <w:t xml:space="preserve">January </w:t>
      </w:r>
      <w:r w:rsidR="00B90D42" w:rsidRPr="00623182">
        <w:rPr>
          <w:rFonts w:ascii="Times New Roman" w:hAnsi="Times New Roman" w:cs="Times New Roman"/>
          <w:sz w:val="24"/>
          <w:szCs w:val="24"/>
        </w:rPr>
        <w:t>2010.</w:t>
      </w:r>
      <w:r w:rsidR="008A4C64" w:rsidRPr="00623182">
        <w:rPr>
          <w:rFonts w:ascii="Times New Roman" w:hAnsi="Times New Roman" w:cs="Times New Roman"/>
          <w:sz w:val="24"/>
          <w:szCs w:val="24"/>
        </w:rPr>
        <w:t xml:space="preserve"> I have already held in a </w:t>
      </w:r>
      <w:r w:rsidR="00B014B9" w:rsidRPr="00623182">
        <w:rPr>
          <w:rFonts w:ascii="Times New Roman" w:hAnsi="Times New Roman" w:cs="Times New Roman"/>
          <w:i/>
          <w:sz w:val="24"/>
          <w:szCs w:val="24"/>
        </w:rPr>
        <w:t>CUT</w:t>
      </w:r>
      <w:r w:rsidR="00B90D42" w:rsidRPr="00623182">
        <w:rPr>
          <w:rFonts w:ascii="Times New Roman" w:hAnsi="Times New Roman" w:cs="Times New Roman"/>
          <w:i/>
          <w:sz w:val="24"/>
          <w:szCs w:val="24"/>
        </w:rPr>
        <w:t xml:space="preserve"> (Pvt) Ltd </w:t>
      </w:r>
      <w:r w:rsidR="00B90D42" w:rsidRPr="00530C7F">
        <w:rPr>
          <w:rFonts w:ascii="Times New Roman" w:hAnsi="Times New Roman" w:cs="Times New Roman"/>
          <w:sz w:val="24"/>
          <w:szCs w:val="24"/>
        </w:rPr>
        <w:t>v</w:t>
      </w:r>
      <w:r w:rsidR="00B90D42" w:rsidRPr="00623182">
        <w:rPr>
          <w:rFonts w:ascii="Times New Roman" w:hAnsi="Times New Roman" w:cs="Times New Roman"/>
          <w:i/>
          <w:sz w:val="24"/>
          <w:szCs w:val="24"/>
        </w:rPr>
        <w:t xml:space="preserve"> ZIMRA</w:t>
      </w:r>
      <w:r w:rsidR="00B90D42" w:rsidRPr="00623182">
        <w:rPr>
          <w:rFonts w:ascii="Times New Roman" w:hAnsi="Times New Roman" w:cs="Times New Roman"/>
          <w:sz w:val="24"/>
          <w:szCs w:val="24"/>
        </w:rPr>
        <w:t xml:space="preserve"> HH 664/2019 at page</w:t>
      </w:r>
      <w:r w:rsidR="00B014B9" w:rsidRPr="00623182">
        <w:rPr>
          <w:rFonts w:ascii="Times New Roman" w:hAnsi="Times New Roman" w:cs="Times New Roman"/>
          <w:sz w:val="24"/>
          <w:szCs w:val="24"/>
        </w:rPr>
        <w:t xml:space="preserve"> 7 of the cyclostyled judgment</w:t>
      </w:r>
      <w:r w:rsidR="008A4C64" w:rsidRPr="00623182">
        <w:rPr>
          <w:rFonts w:ascii="Times New Roman" w:hAnsi="Times New Roman" w:cs="Times New Roman"/>
          <w:sz w:val="24"/>
          <w:szCs w:val="24"/>
        </w:rPr>
        <w:t xml:space="preserve"> that self-assessments are deemed to be assessments issued by the Commissioner. This is clear from the definition</w:t>
      </w:r>
      <w:r w:rsidR="00EE38B3" w:rsidRPr="00623182">
        <w:rPr>
          <w:rFonts w:ascii="Times New Roman" w:hAnsi="Times New Roman" w:cs="Times New Roman"/>
          <w:sz w:val="24"/>
          <w:szCs w:val="24"/>
        </w:rPr>
        <w:t xml:space="preserve"> of an assessment set out in s 2</w:t>
      </w:r>
      <w:r w:rsidR="008A4C64" w:rsidRPr="00623182">
        <w:rPr>
          <w:rFonts w:ascii="Times New Roman" w:hAnsi="Times New Roman" w:cs="Times New Roman"/>
          <w:sz w:val="24"/>
          <w:szCs w:val="24"/>
        </w:rPr>
        <w:t xml:space="preserve"> of the Income Tax Act and the clear and unambiguous wording of s 37A (11) of the same Act. </w:t>
      </w:r>
      <w:r w:rsidR="00C82F69" w:rsidRPr="00623182">
        <w:rPr>
          <w:rFonts w:ascii="Times New Roman" w:hAnsi="Times New Roman" w:cs="Times New Roman"/>
          <w:sz w:val="24"/>
          <w:szCs w:val="24"/>
        </w:rPr>
        <w:t xml:space="preserve"> </w:t>
      </w:r>
      <w:r w:rsidR="008A4C64" w:rsidRPr="00623182">
        <w:rPr>
          <w:rFonts w:ascii="Times New Roman" w:hAnsi="Times New Roman" w:cs="Times New Roman"/>
          <w:sz w:val="24"/>
          <w:szCs w:val="24"/>
        </w:rPr>
        <w:t>I, therefore</w:t>
      </w:r>
      <w:r w:rsidR="00EE38B3" w:rsidRPr="00623182">
        <w:rPr>
          <w:rFonts w:ascii="Times New Roman" w:hAnsi="Times New Roman" w:cs="Times New Roman"/>
          <w:sz w:val="24"/>
          <w:szCs w:val="24"/>
        </w:rPr>
        <w:t>,</w:t>
      </w:r>
      <w:r w:rsidR="008A4C64" w:rsidRPr="00623182">
        <w:rPr>
          <w:rFonts w:ascii="Times New Roman" w:hAnsi="Times New Roman" w:cs="Times New Roman"/>
          <w:sz w:val="24"/>
          <w:szCs w:val="24"/>
        </w:rPr>
        <w:t xml:space="preserve"> dismiss the alternative argument raised by Mr </w:t>
      </w:r>
      <w:r w:rsidR="008A4C64" w:rsidRPr="00623182">
        <w:rPr>
          <w:rFonts w:ascii="Times New Roman" w:hAnsi="Times New Roman" w:cs="Times New Roman"/>
          <w:i/>
          <w:sz w:val="24"/>
          <w:szCs w:val="24"/>
        </w:rPr>
        <w:t>Magwaliba</w:t>
      </w:r>
      <w:r w:rsidR="008A4C64" w:rsidRPr="00623182">
        <w:rPr>
          <w:rFonts w:ascii="Times New Roman" w:hAnsi="Times New Roman" w:cs="Times New Roman"/>
          <w:sz w:val="24"/>
          <w:szCs w:val="24"/>
        </w:rPr>
        <w:t xml:space="preserve"> that a self-assessment falls outside the contemplation of s 47 (1) of the Income Tax Act. </w:t>
      </w:r>
    </w:p>
    <w:p w:rsidR="002E2B8C" w:rsidRPr="00623182" w:rsidRDefault="00530C7F" w:rsidP="00530C7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A4C64" w:rsidRPr="00623182">
        <w:rPr>
          <w:rFonts w:ascii="Times New Roman" w:hAnsi="Times New Roman" w:cs="Times New Roman"/>
          <w:sz w:val="24"/>
          <w:szCs w:val="24"/>
        </w:rPr>
        <w:t xml:space="preserve">Mr </w:t>
      </w:r>
      <w:r w:rsidR="008A4C64" w:rsidRPr="00623182">
        <w:rPr>
          <w:rFonts w:ascii="Times New Roman" w:hAnsi="Times New Roman" w:cs="Times New Roman"/>
          <w:i/>
          <w:sz w:val="24"/>
          <w:szCs w:val="24"/>
        </w:rPr>
        <w:t>de Bourbon</w:t>
      </w:r>
      <w:r w:rsidR="008A4C64" w:rsidRPr="00623182">
        <w:rPr>
          <w:rFonts w:ascii="Times New Roman" w:hAnsi="Times New Roman" w:cs="Times New Roman"/>
          <w:sz w:val="24"/>
          <w:szCs w:val="24"/>
        </w:rPr>
        <w:t xml:space="preserve"> submitted in both his oral and written legal arguments that the respondent conceded the existence of a practice generally prevailing in his office of treating provisions as deductible in the tax</w:t>
      </w:r>
      <w:r w:rsidR="009C0185" w:rsidRPr="00623182">
        <w:rPr>
          <w:rFonts w:ascii="Times New Roman" w:hAnsi="Times New Roman" w:cs="Times New Roman"/>
          <w:sz w:val="24"/>
          <w:szCs w:val="24"/>
        </w:rPr>
        <w:t xml:space="preserve"> year in which they we</w:t>
      </w:r>
      <w:r w:rsidR="008A4C64" w:rsidRPr="00623182">
        <w:rPr>
          <w:rFonts w:ascii="Times New Roman" w:hAnsi="Times New Roman" w:cs="Times New Roman"/>
          <w:sz w:val="24"/>
          <w:szCs w:val="24"/>
        </w:rPr>
        <w:t xml:space="preserve">re made. </w:t>
      </w:r>
      <w:r w:rsidR="002E2B8C" w:rsidRPr="00623182">
        <w:rPr>
          <w:rFonts w:ascii="Times New Roman" w:hAnsi="Times New Roman" w:cs="Times New Roman"/>
          <w:sz w:val="24"/>
          <w:szCs w:val="24"/>
        </w:rPr>
        <w:t xml:space="preserve">In para 5 of his written submissions Mr </w:t>
      </w:r>
      <w:r w:rsidR="002E2B8C" w:rsidRPr="00623182">
        <w:rPr>
          <w:rFonts w:ascii="Times New Roman" w:hAnsi="Times New Roman" w:cs="Times New Roman"/>
          <w:i/>
          <w:sz w:val="24"/>
          <w:szCs w:val="24"/>
        </w:rPr>
        <w:t>de Bourbon</w:t>
      </w:r>
      <w:r w:rsidR="002E2B8C" w:rsidRPr="00623182">
        <w:rPr>
          <w:rFonts w:ascii="Times New Roman" w:hAnsi="Times New Roman" w:cs="Times New Roman"/>
          <w:sz w:val="24"/>
          <w:szCs w:val="24"/>
        </w:rPr>
        <w:t xml:space="preserve"> relied on the interpretation of this section rendered by the Commissioner in para [145] at page 113-114 of the Commissioner’s Handbook and its </w:t>
      </w:r>
      <w:r w:rsidR="002E2B8C" w:rsidRPr="00623182">
        <w:rPr>
          <w:rFonts w:ascii="Times New Roman" w:hAnsi="Times New Roman" w:cs="Times New Roman"/>
          <w:sz w:val="24"/>
          <w:szCs w:val="24"/>
        </w:rPr>
        <w:lastRenderedPageBreak/>
        <w:t>applicability to leave pay, directors’ fees, bonuses and the like.  The Handbook is quoted as providing that:</w:t>
      </w:r>
    </w:p>
    <w:p w:rsidR="002E2B8C" w:rsidRPr="00530C7F" w:rsidRDefault="002E2B8C" w:rsidP="00530C7F">
      <w:pPr>
        <w:spacing w:after="0" w:line="240" w:lineRule="auto"/>
        <w:ind w:firstLine="360"/>
        <w:jc w:val="both"/>
        <w:rPr>
          <w:rFonts w:ascii="Times New Roman" w:hAnsi="Times New Roman" w:cs="Times New Roman"/>
        </w:rPr>
      </w:pPr>
      <w:r w:rsidRPr="00530C7F">
        <w:rPr>
          <w:rFonts w:ascii="Times New Roman" w:hAnsi="Times New Roman" w:cs="Times New Roman"/>
        </w:rPr>
        <w:t>“The deduction not allowed are-</w:t>
      </w:r>
    </w:p>
    <w:p w:rsidR="002E2B8C" w:rsidRPr="00530C7F" w:rsidRDefault="002E2B8C" w:rsidP="00530C7F">
      <w:pPr>
        <w:spacing w:after="0" w:line="240" w:lineRule="auto"/>
        <w:ind w:left="1440" w:hanging="720"/>
        <w:jc w:val="both"/>
        <w:rPr>
          <w:rFonts w:ascii="Times New Roman" w:hAnsi="Times New Roman" w:cs="Times New Roman"/>
        </w:rPr>
      </w:pPr>
      <w:r w:rsidRPr="00530C7F">
        <w:rPr>
          <w:rFonts w:ascii="Times New Roman" w:hAnsi="Times New Roman" w:cs="Times New Roman"/>
        </w:rPr>
        <w:t>(e)</w:t>
      </w:r>
      <w:r w:rsidRPr="00530C7F">
        <w:rPr>
          <w:rFonts w:ascii="Times New Roman" w:hAnsi="Times New Roman" w:cs="Times New Roman"/>
        </w:rPr>
        <w:tab/>
        <w:t>Income taken to a reserve fund or capitalized in any way. In practice this paragraph is not applied to specific reserves created in respect of leave pay, director’s fees, bonuses and the like. Such reserves and provisions will be allowable deductions if –</w:t>
      </w:r>
    </w:p>
    <w:p w:rsidR="002E2B8C" w:rsidRPr="00530C7F" w:rsidRDefault="002E2B8C" w:rsidP="00530C7F">
      <w:pPr>
        <w:spacing w:line="240" w:lineRule="auto"/>
        <w:ind w:left="2160" w:hanging="720"/>
        <w:jc w:val="both"/>
        <w:rPr>
          <w:rFonts w:ascii="Times New Roman" w:hAnsi="Times New Roman" w:cs="Times New Roman"/>
        </w:rPr>
      </w:pPr>
      <w:r w:rsidRPr="00530C7F">
        <w:rPr>
          <w:rFonts w:ascii="Times New Roman" w:hAnsi="Times New Roman" w:cs="Times New Roman"/>
        </w:rPr>
        <w:t>(i)</w:t>
      </w:r>
      <w:r w:rsidRPr="00530C7F">
        <w:rPr>
          <w:rFonts w:ascii="Times New Roman" w:hAnsi="Times New Roman" w:cs="Times New Roman"/>
        </w:rPr>
        <w:tab/>
        <w:t>the amounts are voted on or before the date of the relative amounts or the annual general meeting at which they were considered; and</w:t>
      </w:r>
    </w:p>
    <w:p w:rsidR="002E2B8C" w:rsidRPr="00530C7F" w:rsidRDefault="002E2B8C" w:rsidP="00530C7F">
      <w:pPr>
        <w:spacing w:line="240" w:lineRule="auto"/>
        <w:ind w:left="2160" w:hanging="720"/>
        <w:jc w:val="both"/>
        <w:rPr>
          <w:rFonts w:ascii="Times New Roman" w:hAnsi="Times New Roman" w:cs="Times New Roman"/>
        </w:rPr>
      </w:pPr>
      <w:r w:rsidRPr="00530C7F">
        <w:rPr>
          <w:rFonts w:ascii="Times New Roman" w:hAnsi="Times New Roman" w:cs="Times New Roman"/>
        </w:rPr>
        <w:t xml:space="preserve">(ii) </w:t>
      </w:r>
      <w:r w:rsidRPr="00530C7F">
        <w:rPr>
          <w:rFonts w:ascii="Times New Roman" w:hAnsi="Times New Roman" w:cs="Times New Roman"/>
        </w:rPr>
        <w:tab/>
        <w:t>the income is taxable in the year of assessment in which it is allowed as a deduction.”</w:t>
      </w:r>
    </w:p>
    <w:p w:rsidR="00601993" w:rsidRPr="00623182" w:rsidRDefault="008A6F87" w:rsidP="00530C7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bulk</w:t>
      </w:r>
      <w:r w:rsidR="006050BC" w:rsidRPr="00623182">
        <w:rPr>
          <w:rFonts w:ascii="Times New Roman" w:hAnsi="Times New Roman" w:cs="Times New Roman"/>
          <w:sz w:val="24"/>
          <w:szCs w:val="24"/>
        </w:rPr>
        <w:t xml:space="preserve"> of the </w:t>
      </w:r>
      <w:r w:rsidR="008A4C64" w:rsidRPr="00623182">
        <w:rPr>
          <w:rFonts w:ascii="Times New Roman" w:hAnsi="Times New Roman" w:cs="Times New Roman"/>
          <w:sz w:val="24"/>
          <w:szCs w:val="24"/>
        </w:rPr>
        <w:t xml:space="preserve">correspondence </w:t>
      </w:r>
      <w:r w:rsidR="006050BC" w:rsidRPr="00623182">
        <w:rPr>
          <w:rFonts w:ascii="Times New Roman" w:hAnsi="Times New Roman" w:cs="Times New Roman"/>
          <w:sz w:val="24"/>
          <w:szCs w:val="24"/>
        </w:rPr>
        <w:t xml:space="preserve">exchanged between the parties </w:t>
      </w:r>
      <w:r w:rsidR="008A4C64" w:rsidRPr="00623182">
        <w:rPr>
          <w:rFonts w:ascii="Times New Roman" w:hAnsi="Times New Roman" w:cs="Times New Roman"/>
          <w:sz w:val="24"/>
          <w:szCs w:val="24"/>
        </w:rPr>
        <w:t xml:space="preserve">prior to the filing of the Commissioner’s case, the respondent’s officials disputed the existence of such a practice. </w:t>
      </w:r>
      <w:r w:rsidR="002D4ABA" w:rsidRPr="00623182">
        <w:rPr>
          <w:rFonts w:ascii="Times New Roman" w:hAnsi="Times New Roman" w:cs="Times New Roman"/>
          <w:sz w:val="24"/>
          <w:szCs w:val="24"/>
        </w:rPr>
        <w:t xml:space="preserve">In para 37 to 42 of the respondent’s case, the respondent confessed and avoided the existence of the alleged practice of accepting a provision of leave pay as deductible against income prior to </w:t>
      </w:r>
      <w:r w:rsidR="006050BC" w:rsidRPr="00623182">
        <w:rPr>
          <w:rFonts w:ascii="Times New Roman" w:hAnsi="Times New Roman" w:cs="Times New Roman"/>
          <w:sz w:val="24"/>
          <w:szCs w:val="24"/>
        </w:rPr>
        <w:t xml:space="preserve">1 January </w:t>
      </w:r>
      <w:r w:rsidR="002D4ABA" w:rsidRPr="00623182">
        <w:rPr>
          <w:rFonts w:ascii="Times New Roman" w:hAnsi="Times New Roman" w:cs="Times New Roman"/>
          <w:sz w:val="24"/>
          <w:szCs w:val="24"/>
        </w:rPr>
        <w:t xml:space="preserve">2010.  </w:t>
      </w:r>
      <w:r w:rsidR="00312D68" w:rsidRPr="00623182">
        <w:rPr>
          <w:rFonts w:ascii="Times New Roman" w:hAnsi="Times New Roman" w:cs="Times New Roman"/>
          <w:sz w:val="24"/>
          <w:szCs w:val="24"/>
        </w:rPr>
        <w:t xml:space="preserve">The Commissioner linked the practice to the treatment provided by legislation to doubtful debts before the repeal of s 15 (2) (g) (ii) </w:t>
      </w:r>
      <w:r w:rsidR="00DB048F" w:rsidRPr="00623182">
        <w:rPr>
          <w:rFonts w:ascii="Times New Roman" w:hAnsi="Times New Roman" w:cs="Times New Roman"/>
          <w:sz w:val="24"/>
          <w:szCs w:val="24"/>
        </w:rPr>
        <w:t xml:space="preserve">of the Income Tax Act </w:t>
      </w:r>
      <w:r w:rsidR="00312D68" w:rsidRPr="00623182">
        <w:rPr>
          <w:rFonts w:ascii="Times New Roman" w:hAnsi="Times New Roman" w:cs="Times New Roman"/>
          <w:sz w:val="24"/>
          <w:szCs w:val="24"/>
        </w:rPr>
        <w:t>by s 14 of the Finance Act Number 10 of 2009, which took effect on 1 January 2010. Section 15 (2) (g) (ii) allowed the Commissioner to approve deductions in respect of doubtful debts claimed against a taxpayer’s income in the year of assessment provided that such a claim would be added back to income the follo</w:t>
      </w:r>
      <w:r w:rsidR="00353B31" w:rsidRPr="00623182">
        <w:rPr>
          <w:rFonts w:ascii="Times New Roman" w:hAnsi="Times New Roman" w:cs="Times New Roman"/>
          <w:sz w:val="24"/>
          <w:szCs w:val="24"/>
        </w:rPr>
        <w:t xml:space="preserve">wing tax year. In the Commissioner’s opinion, there was no law at the time, which dealt with leave pay provisions, so he </w:t>
      </w:r>
      <w:r w:rsidR="00601993" w:rsidRPr="00623182">
        <w:rPr>
          <w:rFonts w:ascii="Times New Roman" w:hAnsi="Times New Roman" w:cs="Times New Roman"/>
          <w:sz w:val="24"/>
          <w:szCs w:val="24"/>
        </w:rPr>
        <w:t xml:space="preserve">extended </w:t>
      </w:r>
      <w:r w:rsidR="00353B31" w:rsidRPr="00623182">
        <w:rPr>
          <w:rFonts w:ascii="Times New Roman" w:hAnsi="Times New Roman" w:cs="Times New Roman"/>
          <w:sz w:val="24"/>
          <w:szCs w:val="24"/>
        </w:rPr>
        <w:t>the principle applicable to doubtful deb</w:t>
      </w:r>
      <w:r w:rsidR="00362192" w:rsidRPr="00623182">
        <w:rPr>
          <w:rFonts w:ascii="Times New Roman" w:hAnsi="Times New Roman" w:cs="Times New Roman"/>
          <w:sz w:val="24"/>
          <w:szCs w:val="24"/>
        </w:rPr>
        <w:t>t</w:t>
      </w:r>
      <w:r w:rsidR="00353B31" w:rsidRPr="00623182">
        <w:rPr>
          <w:rFonts w:ascii="Times New Roman" w:hAnsi="Times New Roman" w:cs="Times New Roman"/>
          <w:sz w:val="24"/>
          <w:szCs w:val="24"/>
        </w:rPr>
        <w:t>s</w:t>
      </w:r>
      <w:r w:rsidR="00601993" w:rsidRPr="00623182">
        <w:rPr>
          <w:rFonts w:ascii="Times New Roman" w:hAnsi="Times New Roman" w:cs="Times New Roman"/>
          <w:sz w:val="24"/>
          <w:szCs w:val="24"/>
        </w:rPr>
        <w:t xml:space="preserve"> to leave pay, directors’ fees</w:t>
      </w:r>
      <w:r w:rsidR="00896B24">
        <w:rPr>
          <w:rFonts w:ascii="Times New Roman" w:hAnsi="Times New Roman" w:cs="Times New Roman"/>
          <w:sz w:val="24"/>
          <w:szCs w:val="24"/>
        </w:rPr>
        <w:t>,</w:t>
      </w:r>
      <w:r w:rsidR="00601993" w:rsidRPr="00623182">
        <w:rPr>
          <w:rFonts w:ascii="Times New Roman" w:hAnsi="Times New Roman" w:cs="Times New Roman"/>
          <w:sz w:val="24"/>
          <w:szCs w:val="24"/>
        </w:rPr>
        <w:t xml:space="preserve"> bonuses and the like</w:t>
      </w:r>
      <w:r w:rsidR="00353B31" w:rsidRPr="00623182">
        <w:rPr>
          <w:rFonts w:ascii="Times New Roman" w:hAnsi="Times New Roman" w:cs="Times New Roman"/>
          <w:sz w:val="24"/>
          <w:szCs w:val="24"/>
        </w:rPr>
        <w:t>.</w:t>
      </w:r>
      <w:r w:rsidR="00362192" w:rsidRPr="00623182">
        <w:rPr>
          <w:rFonts w:ascii="Times New Roman" w:hAnsi="Times New Roman" w:cs="Times New Roman"/>
          <w:sz w:val="24"/>
          <w:szCs w:val="24"/>
        </w:rPr>
        <w:t xml:space="preserve"> Like doubtful debts, the practice was in two parts. The first was that the Commissioner allowed the claim in the year of assessment. The second was that the taxpayer had to add the deductions back to income in the</w:t>
      </w:r>
      <w:r w:rsidR="00601993" w:rsidRPr="00623182">
        <w:rPr>
          <w:rFonts w:ascii="Times New Roman" w:hAnsi="Times New Roman" w:cs="Times New Roman"/>
          <w:sz w:val="24"/>
          <w:szCs w:val="24"/>
        </w:rPr>
        <w:t xml:space="preserve"> following year </w:t>
      </w:r>
      <w:r w:rsidR="00462DC8">
        <w:rPr>
          <w:rFonts w:ascii="Times New Roman" w:hAnsi="Times New Roman" w:cs="Times New Roman"/>
          <w:sz w:val="24"/>
          <w:szCs w:val="24"/>
        </w:rPr>
        <w:t>tax year</w:t>
      </w:r>
      <w:r w:rsidR="00601993" w:rsidRPr="00623182">
        <w:rPr>
          <w:rFonts w:ascii="Times New Roman" w:hAnsi="Times New Roman" w:cs="Times New Roman"/>
          <w:sz w:val="24"/>
          <w:szCs w:val="24"/>
        </w:rPr>
        <w:t xml:space="preserve">. </w:t>
      </w:r>
      <w:r w:rsidR="00362192" w:rsidRPr="00623182">
        <w:rPr>
          <w:rFonts w:ascii="Times New Roman" w:hAnsi="Times New Roman" w:cs="Times New Roman"/>
          <w:sz w:val="24"/>
          <w:szCs w:val="24"/>
        </w:rPr>
        <w:t>It was common cause that the practice in relation to doubtful debts was abandoned by the repeal of s 15 (2) (g) (ii)</w:t>
      </w:r>
      <w:r w:rsidR="00DB048F" w:rsidRPr="00623182">
        <w:rPr>
          <w:rFonts w:ascii="Times New Roman" w:hAnsi="Times New Roman" w:cs="Times New Roman"/>
          <w:sz w:val="24"/>
          <w:szCs w:val="24"/>
        </w:rPr>
        <w:t xml:space="preserve"> with effect from 1 January 2010. </w:t>
      </w:r>
    </w:p>
    <w:p w:rsidR="00792AE0" w:rsidRPr="00623182" w:rsidRDefault="00DB048F" w:rsidP="00530C7F">
      <w:pPr>
        <w:spacing w:after="0" w:line="360" w:lineRule="auto"/>
        <w:ind w:firstLine="720"/>
        <w:jc w:val="both"/>
        <w:rPr>
          <w:rFonts w:ascii="Times New Roman" w:hAnsi="Times New Roman" w:cs="Times New Roman"/>
          <w:sz w:val="24"/>
          <w:szCs w:val="24"/>
        </w:rPr>
      </w:pPr>
      <w:r w:rsidRPr="00623182">
        <w:rPr>
          <w:rFonts w:ascii="Times New Roman" w:hAnsi="Times New Roman" w:cs="Times New Roman"/>
          <w:sz w:val="24"/>
          <w:szCs w:val="24"/>
        </w:rPr>
        <w:t>The Commissioner averred that he also abandoned the practice in so far as it related to leave pay provisions because it lacked the philosophical grounding provided by doubtful debts.</w:t>
      </w:r>
      <w:r w:rsidR="00792AE0" w:rsidRPr="00623182">
        <w:rPr>
          <w:rFonts w:ascii="Times New Roman" w:hAnsi="Times New Roman" w:cs="Times New Roman"/>
          <w:sz w:val="24"/>
          <w:szCs w:val="24"/>
        </w:rPr>
        <w:t xml:space="preserve"> </w:t>
      </w:r>
      <w:r w:rsidR="009A04EE" w:rsidRPr="00623182">
        <w:rPr>
          <w:rFonts w:ascii="Times New Roman" w:hAnsi="Times New Roman" w:cs="Times New Roman"/>
          <w:sz w:val="24"/>
          <w:szCs w:val="24"/>
        </w:rPr>
        <w:t xml:space="preserve">Notwithstanding Mr </w:t>
      </w:r>
      <w:r w:rsidR="009A04EE" w:rsidRPr="00623182">
        <w:rPr>
          <w:rFonts w:ascii="Times New Roman" w:hAnsi="Times New Roman" w:cs="Times New Roman"/>
          <w:i/>
          <w:sz w:val="24"/>
          <w:szCs w:val="24"/>
        </w:rPr>
        <w:t>de Bourbon’s</w:t>
      </w:r>
      <w:r w:rsidR="009A04EE" w:rsidRPr="00623182">
        <w:rPr>
          <w:rFonts w:ascii="Times New Roman" w:hAnsi="Times New Roman" w:cs="Times New Roman"/>
          <w:sz w:val="24"/>
          <w:szCs w:val="24"/>
        </w:rPr>
        <w:t xml:space="preserve"> contention in para 6 of his written submissions that the provision relating to doubtful debts had nothing in common with the practice relating to leave provisions, I am satisfied from a reading of the para [117] at page 98-99 quoted in full in his heads that the two were treated </w:t>
      </w:r>
      <w:r w:rsidR="00A23731" w:rsidRPr="00623182">
        <w:rPr>
          <w:rFonts w:ascii="Times New Roman" w:hAnsi="Times New Roman" w:cs="Times New Roman"/>
          <w:sz w:val="24"/>
          <w:szCs w:val="24"/>
        </w:rPr>
        <w:t>in the same way by the Commissioner.</w:t>
      </w:r>
      <w:r w:rsidR="009A04EE" w:rsidRPr="00623182">
        <w:rPr>
          <w:rFonts w:ascii="Times New Roman" w:hAnsi="Times New Roman" w:cs="Times New Roman"/>
          <w:sz w:val="24"/>
          <w:szCs w:val="24"/>
        </w:rPr>
        <w:t xml:space="preserve"> </w:t>
      </w:r>
      <w:r w:rsidR="00792AE0" w:rsidRPr="00623182">
        <w:rPr>
          <w:rFonts w:ascii="Times New Roman" w:hAnsi="Times New Roman" w:cs="Times New Roman"/>
          <w:sz w:val="24"/>
          <w:szCs w:val="24"/>
        </w:rPr>
        <w:t>The appellant, throu</w:t>
      </w:r>
      <w:r w:rsidR="006E2396" w:rsidRPr="00623182">
        <w:rPr>
          <w:rFonts w:ascii="Times New Roman" w:hAnsi="Times New Roman" w:cs="Times New Roman"/>
          <w:sz w:val="24"/>
          <w:szCs w:val="24"/>
        </w:rPr>
        <w:t xml:space="preserve">gh the evidence </w:t>
      </w:r>
      <w:r w:rsidR="00792AE0" w:rsidRPr="00623182">
        <w:rPr>
          <w:rFonts w:ascii="Times New Roman" w:hAnsi="Times New Roman" w:cs="Times New Roman"/>
          <w:sz w:val="24"/>
          <w:szCs w:val="24"/>
        </w:rPr>
        <w:t xml:space="preserve">of its tax consultant, did not dispute that the practice was abandoned in 2010 but contended that such an abandonment was never communicated to it by the </w:t>
      </w:r>
      <w:r w:rsidR="00792AE0" w:rsidRPr="00623182">
        <w:rPr>
          <w:rFonts w:ascii="Times New Roman" w:hAnsi="Times New Roman" w:cs="Times New Roman"/>
          <w:sz w:val="24"/>
          <w:szCs w:val="24"/>
        </w:rPr>
        <w:lastRenderedPageBreak/>
        <w:t>Commissioner until sometime in 2012 or 2013 when the respondent’s auditors advised the tax consultant of the new position.</w:t>
      </w:r>
      <w:r w:rsidR="00412422" w:rsidRPr="00623182">
        <w:rPr>
          <w:rFonts w:ascii="Times New Roman" w:hAnsi="Times New Roman" w:cs="Times New Roman"/>
          <w:sz w:val="24"/>
          <w:szCs w:val="24"/>
        </w:rPr>
        <w:t xml:space="preserve">  In his oral submissions, Mr de </w:t>
      </w:r>
      <w:r w:rsidR="00412422" w:rsidRPr="00623182">
        <w:rPr>
          <w:rFonts w:ascii="Times New Roman" w:hAnsi="Times New Roman" w:cs="Times New Roman"/>
          <w:i/>
          <w:sz w:val="24"/>
          <w:szCs w:val="24"/>
        </w:rPr>
        <w:t>Bourbon</w:t>
      </w:r>
      <w:r w:rsidR="00412422" w:rsidRPr="00623182">
        <w:rPr>
          <w:rFonts w:ascii="Times New Roman" w:hAnsi="Times New Roman" w:cs="Times New Roman"/>
          <w:sz w:val="24"/>
          <w:szCs w:val="24"/>
        </w:rPr>
        <w:t xml:space="preserve"> politely contended that</w:t>
      </w:r>
      <w:r w:rsidR="00792AE0" w:rsidRPr="00623182">
        <w:rPr>
          <w:rFonts w:ascii="Times New Roman" w:hAnsi="Times New Roman" w:cs="Times New Roman"/>
          <w:sz w:val="24"/>
          <w:szCs w:val="24"/>
        </w:rPr>
        <w:t xml:space="preserve"> </w:t>
      </w:r>
      <w:r w:rsidR="00412422" w:rsidRPr="00623182">
        <w:rPr>
          <w:rFonts w:ascii="Times New Roman" w:hAnsi="Times New Roman" w:cs="Times New Roman"/>
          <w:sz w:val="24"/>
          <w:szCs w:val="24"/>
        </w:rPr>
        <w:t>his witness had basically been tricked into conceding that as a matter of hard fact, the practice of allowing the deduction</w:t>
      </w:r>
      <w:r w:rsidR="00D93C21" w:rsidRPr="00623182">
        <w:rPr>
          <w:rFonts w:ascii="Times New Roman" w:hAnsi="Times New Roman" w:cs="Times New Roman"/>
          <w:sz w:val="24"/>
          <w:szCs w:val="24"/>
        </w:rPr>
        <w:t xml:space="preserve"> of leave pay provisions ceased</w:t>
      </w:r>
      <w:r w:rsidR="00412422" w:rsidRPr="00623182">
        <w:rPr>
          <w:rFonts w:ascii="Times New Roman" w:hAnsi="Times New Roman" w:cs="Times New Roman"/>
          <w:sz w:val="24"/>
          <w:szCs w:val="24"/>
        </w:rPr>
        <w:t xml:space="preserve"> with effect from </w:t>
      </w:r>
      <w:r w:rsidR="00D93C21" w:rsidRPr="00623182">
        <w:rPr>
          <w:rFonts w:ascii="Times New Roman" w:hAnsi="Times New Roman" w:cs="Times New Roman"/>
          <w:sz w:val="24"/>
          <w:szCs w:val="24"/>
        </w:rPr>
        <w:t>1 January 2010.</w:t>
      </w:r>
      <w:r w:rsidR="00412422" w:rsidRPr="00623182">
        <w:rPr>
          <w:rFonts w:ascii="Times New Roman" w:hAnsi="Times New Roman" w:cs="Times New Roman"/>
          <w:sz w:val="24"/>
          <w:szCs w:val="24"/>
        </w:rPr>
        <w:t xml:space="preserve"> The only damage control that Mr </w:t>
      </w:r>
      <w:r w:rsidR="00412422" w:rsidRPr="00623182">
        <w:rPr>
          <w:rFonts w:ascii="Times New Roman" w:hAnsi="Times New Roman" w:cs="Times New Roman"/>
          <w:i/>
          <w:sz w:val="24"/>
          <w:szCs w:val="24"/>
        </w:rPr>
        <w:t>de Bourbon</w:t>
      </w:r>
      <w:r w:rsidR="00412422" w:rsidRPr="00623182">
        <w:rPr>
          <w:rFonts w:ascii="Times New Roman" w:hAnsi="Times New Roman" w:cs="Times New Roman"/>
          <w:sz w:val="24"/>
          <w:szCs w:val="24"/>
        </w:rPr>
        <w:t xml:space="preserve"> managed to do in re-examination was to extract from the witness that the change in practice was communicated to him after all the tax returns we are dealing with had been filed with the Commissioner. </w:t>
      </w:r>
      <w:r w:rsidR="006E7301" w:rsidRPr="00623182">
        <w:rPr>
          <w:rFonts w:ascii="Times New Roman" w:hAnsi="Times New Roman" w:cs="Times New Roman"/>
          <w:sz w:val="24"/>
          <w:szCs w:val="24"/>
        </w:rPr>
        <w:t xml:space="preserve"> It is from this turn of the evidence that I am satisfied that the practice was indeed abandoned with effect from 1 January 2010. I therefore find as a matter of hard fact that the practice </w:t>
      </w:r>
      <w:r w:rsidR="00413C1F" w:rsidRPr="00623182">
        <w:rPr>
          <w:rFonts w:ascii="Times New Roman" w:hAnsi="Times New Roman" w:cs="Times New Roman"/>
          <w:sz w:val="24"/>
          <w:szCs w:val="24"/>
        </w:rPr>
        <w:t>fell away</w:t>
      </w:r>
      <w:r w:rsidR="006E7301" w:rsidRPr="00623182">
        <w:rPr>
          <w:rFonts w:ascii="Times New Roman" w:hAnsi="Times New Roman" w:cs="Times New Roman"/>
          <w:sz w:val="24"/>
          <w:szCs w:val="24"/>
        </w:rPr>
        <w:t xml:space="preserve"> as from that date. In the result, when the </w:t>
      </w:r>
      <w:r w:rsidR="009A04EE" w:rsidRPr="00623182">
        <w:rPr>
          <w:rFonts w:ascii="Times New Roman" w:hAnsi="Times New Roman" w:cs="Times New Roman"/>
          <w:sz w:val="24"/>
          <w:szCs w:val="24"/>
        </w:rPr>
        <w:t>four assessments were filed the practice that the appellant relied upon was no longer in existence.</w:t>
      </w:r>
      <w:r w:rsidR="00505377" w:rsidRPr="00623182">
        <w:rPr>
          <w:rFonts w:ascii="Times New Roman" w:hAnsi="Times New Roman" w:cs="Times New Roman"/>
          <w:sz w:val="24"/>
          <w:szCs w:val="24"/>
        </w:rPr>
        <w:t xml:space="preserve"> </w:t>
      </w:r>
    </w:p>
    <w:p w:rsidR="009C0128" w:rsidRPr="00623182" w:rsidRDefault="00F07AE5" w:rsidP="00530C7F">
      <w:pPr>
        <w:spacing w:after="0" w:line="360" w:lineRule="auto"/>
        <w:ind w:firstLine="720"/>
        <w:jc w:val="both"/>
        <w:rPr>
          <w:rFonts w:ascii="Times New Roman" w:hAnsi="Times New Roman" w:cs="Times New Roman"/>
          <w:sz w:val="24"/>
          <w:szCs w:val="24"/>
        </w:rPr>
      </w:pPr>
      <w:r w:rsidRPr="00623182">
        <w:rPr>
          <w:rFonts w:ascii="Times New Roman" w:hAnsi="Times New Roman" w:cs="Times New Roman"/>
          <w:sz w:val="24"/>
          <w:szCs w:val="24"/>
        </w:rPr>
        <w:t xml:space="preserve">But even if the practice was still in existence at the time the appellant filed the tax returns that were subsequently amended, the appellant had to satisfy the appeal court by hard credible evidence that it complied with both sub-para ((i) and (ii) in para [145] of the Handbook. It had to show that the amounts relating to the four items were voted on or before the date of the relative accounts or annual general meeting at which they were considered and the income was taxed in the year following that in which it was allowed as a deduction. Neither of the two witnesses called by the appellant testified in regards to the first requirement. While both averred that the amounts were reversed in the following year, neither the original returns nor the reconciliations and journals availed to respondent by the appellant </w:t>
      </w:r>
      <w:r w:rsidR="00BA1E1D" w:rsidRPr="00623182">
        <w:rPr>
          <w:rFonts w:ascii="Times New Roman" w:hAnsi="Times New Roman" w:cs="Times New Roman"/>
          <w:sz w:val="24"/>
          <w:szCs w:val="24"/>
        </w:rPr>
        <w:t xml:space="preserve">and </w:t>
      </w:r>
      <w:r w:rsidRPr="00623182">
        <w:rPr>
          <w:rFonts w:ascii="Times New Roman" w:hAnsi="Times New Roman" w:cs="Times New Roman"/>
          <w:sz w:val="24"/>
          <w:szCs w:val="24"/>
        </w:rPr>
        <w:t>produced in this court in r 11 documents nor even the bundle of do</w:t>
      </w:r>
      <w:r w:rsidR="00147076" w:rsidRPr="00623182">
        <w:rPr>
          <w:rFonts w:ascii="Times New Roman" w:hAnsi="Times New Roman" w:cs="Times New Roman"/>
          <w:sz w:val="24"/>
          <w:szCs w:val="24"/>
        </w:rPr>
        <w:t xml:space="preserve">cuments filed by the appellant </w:t>
      </w:r>
      <w:r w:rsidRPr="00623182">
        <w:rPr>
          <w:rFonts w:ascii="Times New Roman" w:hAnsi="Times New Roman" w:cs="Times New Roman"/>
          <w:sz w:val="24"/>
          <w:szCs w:val="24"/>
        </w:rPr>
        <w:t xml:space="preserve">in preparation of the appeal on 27 September 2017 </w:t>
      </w:r>
      <w:r w:rsidR="00147076" w:rsidRPr="00623182">
        <w:rPr>
          <w:rFonts w:ascii="Times New Roman" w:hAnsi="Times New Roman" w:cs="Times New Roman"/>
          <w:sz w:val="24"/>
          <w:szCs w:val="24"/>
        </w:rPr>
        <w:t xml:space="preserve">ever attempted to demonstrate such a reversal. </w:t>
      </w:r>
      <w:r w:rsidR="00BA1E1D" w:rsidRPr="00623182">
        <w:rPr>
          <w:rFonts w:ascii="Times New Roman" w:hAnsi="Times New Roman" w:cs="Times New Roman"/>
          <w:sz w:val="24"/>
          <w:szCs w:val="24"/>
        </w:rPr>
        <w:t xml:space="preserve">Indeed during cross examination the tax consultant admitted that there were no subsisting documents confirming the reversals. </w:t>
      </w:r>
      <w:r w:rsidR="00147076" w:rsidRPr="00623182">
        <w:rPr>
          <w:rFonts w:ascii="Times New Roman" w:hAnsi="Times New Roman" w:cs="Times New Roman"/>
          <w:sz w:val="24"/>
          <w:szCs w:val="24"/>
        </w:rPr>
        <w:t xml:space="preserve">The mere </w:t>
      </w:r>
      <w:r w:rsidR="00147076" w:rsidRPr="00623182">
        <w:rPr>
          <w:rFonts w:ascii="Times New Roman" w:hAnsi="Times New Roman" w:cs="Times New Roman"/>
          <w:i/>
          <w:sz w:val="24"/>
          <w:szCs w:val="24"/>
        </w:rPr>
        <w:t>ipse dixit</w:t>
      </w:r>
      <w:r w:rsidR="00147076" w:rsidRPr="00623182">
        <w:rPr>
          <w:rFonts w:ascii="Times New Roman" w:hAnsi="Times New Roman" w:cs="Times New Roman"/>
          <w:sz w:val="24"/>
          <w:szCs w:val="24"/>
        </w:rPr>
        <w:t xml:space="preserve"> of these witnesses was insufficient to discharge the onus on the appellant to show on a balance of probabilities that it complied with the conditions set out in the alleged practice.</w:t>
      </w:r>
      <w:r w:rsidR="009C0128" w:rsidRPr="00623182">
        <w:rPr>
          <w:rFonts w:ascii="Times New Roman" w:hAnsi="Times New Roman" w:cs="Times New Roman"/>
          <w:sz w:val="24"/>
          <w:szCs w:val="24"/>
        </w:rPr>
        <w:t xml:space="preserve"> That the appellant could not have complied with the</w:t>
      </w:r>
      <w:r w:rsidR="00355611" w:rsidRPr="00623182">
        <w:rPr>
          <w:rFonts w:ascii="Times New Roman" w:hAnsi="Times New Roman" w:cs="Times New Roman"/>
          <w:sz w:val="24"/>
          <w:szCs w:val="24"/>
        </w:rPr>
        <w:t xml:space="preserve"> second requirement</w:t>
      </w:r>
      <w:r w:rsidR="009C0128" w:rsidRPr="00623182">
        <w:rPr>
          <w:rFonts w:ascii="Times New Roman" w:hAnsi="Times New Roman" w:cs="Times New Roman"/>
          <w:sz w:val="24"/>
          <w:szCs w:val="24"/>
        </w:rPr>
        <w:t xml:space="preserve"> was demonstrated by the absence of provisions in it</w:t>
      </w:r>
      <w:r w:rsidR="000E3F3F">
        <w:rPr>
          <w:rFonts w:ascii="Times New Roman" w:hAnsi="Times New Roman" w:cs="Times New Roman"/>
          <w:sz w:val="24"/>
          <w:szCs w:val="24"/>
        </w:rPr>
        <w:t>s financial statements for the</w:t>
      </w:r>
      <w:r w:rsidR="009C0128" w:rsidRPr="00623182">
        <w:rPr>
          <w:rFonts w:ascii="Times New Roman" w:hAnsi="Times New Roman" w:cs="Times New Roman"/>
          <w:sz w:val="24"/>
          <w:szCs w:val="24"/>
        </w:rPr>
        <w:t xml:space="preserve"> period to which the appeal relates. </w:t>
      </w:r>
      <w:r w:rsidR="00355611" w:rsidRPr="00623182">
        <w:rPr>
          <w:rFonts w:ascii="Times New Roman" w:hAnsi="Times New Roman" w:cs="Times New Roman"/>
          <w:sz w:val="24"/>
          <w:szCs w:val="24"/>
        </w:rPr>
        <w:t xml:space="preserve">In any event, such reversals could not have taken place in view of the fact that the self-assessments were submitted on the basis that the provisions had actually been incurred. </w:t>
      </w:r>
    </w:p>
    <w:p w:rsidR="00F050CD" w:rsidRPr="00623182" w:rsidRDefault="00F8218D" w:rsidP="00530C7F">
      <w:pPr>
        <w:spacing w:after="0" w:line="360" w:lineRule="auto"/>
        <w:ind w:firstLine="720"/>
        <w:jc w:val="both"/>
        <w:rPr>
          <w:rFonts w:ascii="Times New Roman" w:hAnsi="Times New Roman" w:cs="Times New Roman"/>
          <w:sz w:val="24"/>
          <w:szCs w:val="24"/>
        </w:rPr>
      </w:pPr>
      <w:r w:rsidRPr="00623182">
        <w:rPr>
          <w:rFonts w:ascii="Times New Roman" w:hAnsi="Times New Roman" w:cs="Times New Roman"/>
          <w:sz w:val="24"/>
          <w:szCs w:val="24"/>
        </w:rPr>
        <w:t xml:space="preserve">I must off course </w:t>
      </w:r>
      <w:r w:rsidR="001074E9" w:rsidRPr="00623182">
        <w:rPr>
          <w:rFonts w:ascii="Times New Roman" w:hAnsi="Times New Roman" w:cs="Times New Roman"/>
          <w:sz w:val="24"/>
          <w:szCs w:val="24"/>
        </w:rPr>
        <w:t xml:space="preserve">hasten to </w:t>
      </w:r>
      <w:r w:rsidRPr="00623182">
        <w:rPr>
          <w:rFonts w:ascii="Times New Roman" w:hAnsi="Times New Roman" w:cs="Times New Roman"/>
          <w:sz w:val="24"/>
          <w:szCs w:val="24"/>
        </w:rPr>
        <w:t>point out that</w:t>
      </w:r>
      <w:r w:rsidR="00EE31AE">
        <w:rPr>
          <w:rFonts w:ascii="Times New Roman" w:hAnsi="Times New Roman" w:cs="Times New Roman"/>
          <w:sz w:val="24"/>
          <w:szCs w:val="24"/>
        </w:rPr>
        <w:t>,</w:t>
      </w:r>
      <w:r w:rsidRPr="00623182">
        <w:rPr>
          <w:rFonts w:ascii="Times New Roman" w:hAnsi="Times New Roman" w:cs="Times New Roman"/>
          <w:sz w:val="24"/>
          <w:szCs w:val="24"/>
        </w:rPr>
        <w:t xml:space="preserve"> other than the concession made by the </w:t>
      </w:r>
      <w:r w:rsidR="001074E9" w:rsidRPr="00623182">
        <w:rPr>
          <w:rFonts w:ascii="Times New Roman" w:hAnsi="Times New Roman" w:cs="Times New Roman"/>
          <w:sz w:val="24"/>
          <w:szCs w:val="24"/>
        </w:rPr>
        <w:t>respondent; the appellant could not</w:t>
      </w:r>
      <w:r w:rsidRPr="00623182">
        <w:rPr>
          <w:rFonts w:ascii="Times New Roman" w:hAnsi="Times New Roman" w:cs="Times New Roman"/>
          <w:sz w:val="24"/>
          <w:szCs w:val="24"/>
        </w:rPr>
        <w:t xml:space="preserve"> rely on the contents of the </w:t>
      </w:r>
      <w:r w:rsidR="00D666A9" w:rsidRPr="00623182">
        <w:rPr>
          <w:rFonts w:ascii="Times New Roman" w:hAnsi="Times New Roman" w:cs="Times New Roman"/>
          <w:sz w:val="24"/>
          <w:szCs w:val="24"/>
        </w:rPr>
        <w:t xml:space="preserve">Assessor’s </w:t>
      </w:r>
      <w:r w:rsidRPr="00623182">
        <w:rPr>
          <w:rFonts w:ascii="Times New Roman" w:hAnsi="Times New Roman" w:cs="Times New Roman"/>
          <w:sz w:val="24"/>
          <w:szCs w:val="24"/>
        </w:rPr>
        <w:t xml:space="preserve">Handbook in any appeal before this Court. </w:t>
      </w:r>
      <w:r w:rsidR="00147076" w:rsidRPr="00623182">
        <w:rPr>
          <w:rFonts w:ascii="Times New Roman" w:hAnsi="Times New Roman" w:cs="Times New Roman"/>
          <w:sz w:val="24"/>
          <w:szCs w:val="24"/>
        </w:rPr>
        <w:t xml:space="preserve"> </w:t>
      </w:r>
      <w:r w:rsidR="00647AFB" w:rsidRPr="00623182">
        <w:rPr>
          <w:rFonts w:ascii="Times New Roman" w:hAnsi="Times New Roman" w:cs="Times New Roman"/>
          <w:sz w:val="24"/>
          <w:szCs w:val="24"/>
        </w:rPr>
        <w:t xml:space="preserve">I dealt with the issue of the inadmissibility of evidence relating to </w:t>
      </w:r>
      <w:r w:rsidR="00647AFB" w:rsidRPr="00623182">
        <w:rPr>
          <w:rFonts w:ascii="Times New Roman" w:hAnsi="Times New Roman" w:cs="Times New Roman"/>
          <w:sz w:val="24"/>
          <w:szCs w:val="24"/>
        </w:rPr>
        <w:lastRenderedPageBreak/>
        <w:t xml:space="preserve">the contents of the Commissioner’s Assessors Handbook in </w:t>
      </w:r>
      <w:r w:rsidR="00647AFB" w:rsidRPr="00623182">
        <w:rPr>
          <w:rFonts w:ascii="Times New Roman" w:hAnsi="Times New Roman" w:cs="Times New Roman"/>
          <w:i/>
          <w:sz w:val="24"/>
          <w:szCs w:val="24"/>
        </w:rPr>
        <w:t xml:space="preserve">LFCZ Ltd </w:t>
      </w:r>
      <w:r w:rsidR="00647AFB" w:rsidRPr="00530C7F">
        <w:rPr>
          <w:rFonts w:ascii="Times New Roman" w:hAnsi="Times New Roman" w:cs="Times New Roman"/>
          <w:sz w:val="24"/>
          <w:szCs w:val="24"/>
        </w:rPr>
        <w:t>v</w:t>
      </w:r>
      <w:r w:rsidR="00647AFB" w:rsidRPr="00623182">
        <w:rPr>
          <w:rFonts w:ascii="Times New Roman" w:hAnsi="Times New Roman" w:cs="Times New Roman"/>
          <w:i/>
          <w:sz w:val="24"/>
          <w:szCs w:val="24"/>
        </w:rPr>
        <w:t xml:space="preserve"> Zimbabwe Revenue Authority</w:t>
      </w:r>
      <w:r w:rsidR="00647AFB" w:rsidRPr="00623182">
        <w:rPr>
          <w:rFonts w:ascii="Times New Roman" w:hAnsi="Times New Roman" w:cs="Times New Roman"/>
          <w:sz w:val="24"/>
          <w:szCs w:val="24"/>
        </w:rPr>
        <w:t xml:space="preserve"> HH 164/2019</w:t>
      </w:r>
      <w:r w:rsidR="00F07AE5" w:rsidRPr="00623182">
        <w:rPr>
          <w:rFonts w:ascii="Times New Roman" w:hAnsi="Times New Roman" w:cs="Times New Roman"/>
          <w:sz w:val="24"/>
          <w:szCs w:val="24"/>
        </w:rPr>
        <w:t xml:space="preserve"> </w:t>
      </w:r>
      <w:r w:rsidR="00647AFB" w:rsidRPr="00623182">
        <w:rPr>
          <w:rFonts w:ascii="Times New Roman" w:hAnsi="Times New Roman" w:cs="Times New Roman"/>
          <w:sz w:val="24"/>
          <w:szCs w:val="24"/>
        </w:rPr>
        <w:t>at pp</w:t>
      </w:r>
      <w:r w:rsidR="00D666A9" w:rsidRPr="00623182">
        <w:rPr>
          <w:rFonts w:ascii="Times New Roman" w:hAnsi="Times New Roman" w:cs="Times New Roman"/>
          <w:sz w:val="24"/>
          <w:szCs w:val="24"/>
        </w:rPr>
        <w:t xml:space="preserve"> </w:t>
      </w:r>
      <w:r w:rsidR="00647AFB" w:rsidRPr="00623182">
        <w:rPr>
          <w:rFonts w:ascii="Times New Roman" w:hAnsi="Times New Roman" w:cs="Times New Roman"/>
          <w:sz w:val="24"/>
          <w:szCs w:val="24"/>
        </w:rPr>
        <w:t>13-15 of the cyclostyled judgment. I held specifically at p 15 of</w:t>
      </w:r>
      <w:r w:rsidR="008252B0" w:rsidRPr="00623182">
        <w:rPr>
          <w:rFonts w:ascii="Times New Roman" w:hAnsi="Times New Roman" w:cs="Times New Roman"/>
          <w:sz w:val="24"/>
          <w:szCs w:val="24"/>
        </w:rPr>
        <w:t xml:space="preserve"> that judgment that in terms of</w:t>
      </w:r>
      <w:r w:rsidR="00817143" w:rsidRPr="00623182">
        <w:rPr>
          <w:rFonts w:ascii="Times New Roman" w:hAnsi="Times New Roman" w:cs="Times New Roman"/>
          <w:sz w:val="24"/>
          <w:szCs w:val="24"/>
        </w:rPr>
        <w:t xml:space="preserve"> </w:t>
      </w:r>
      <w:r w:rsidR="00647AFB" w:rsidRPr="00623182">
        <w:rPr>
          <w:rFonts w:ascii="Times New Roman" w:hAnsi="Times New Roman" w:cs="Times New Roman"/>
          <w:sz w:val="24"/>
          <w:szCs w:val="24"/>
        </w:rPr>
        <w:t xml:space="preserve">para 5 (3) of the Fourth Schedule to the Revenue Authority Act </w:t>
      </w:r>
      <w:r w:rsidR="00647AFB" w:rsidRPr="00623182">
        <w:rPr>
          <w:rFonts w:ascii="Times New Roman" w:hAnsi="Times New Roman" w:cs="Times New Roman"/>
          <w:i/>
          <w:sz w:val="24"/>
          <w:szCs w:val="24"/>
        </w:rPr>
        <w:t>[Chapter</w:t>
      </w:r>
      <w:r w:rsidR="005A74CE">
        <w:rPr>
          <w:rFonts w:ascii="Times New Roman" w:hAnsi="Times New Roman" w:cs="Times New Roman"/>
          <w:i/>
          <w:sz w:val="24"/>
          <w:szCs w:val="24"/>
        </w:rPr>
        <w:t xml:space="preserve"> </w:t>
      </w:r>
      <w:r w:rsidR="00647AFB" w:rsidRPr="00623182">
        <w:rPr>
          <w:rFonts w:ascii="Times New Roman" w:hAnsi="Times New Roman" w:cs="Times New Roman"/>
          <w:i/>
          <w:sz w:val="24"/>
          <w:szCs w:val="24"/>
        </w:rPr>
        <w:t>23:11</w:t>
      </w:r>
      <w:r w:rsidR="00647AFB" w:rsidRPr="00623182">
        <w:rPr>
          <w:rFonts w:ascii="Times New Roman" w:hAnsi="Times New Roman" w:cs="Times New Roman"/>
          <w:sz w:val="24"/>
          <w:szCs w:val="24"/>
        </w:rPr>
        <w:t xml:space="preserve">] such a Handbook constituted a written statement issued by the Commissioner-General which had the effect of a non-binding private opinion. </w:t>
      </w:r>
      <w:r w:rsidR="00D027BB" w:rsidRPr="00623182">
        <w:rPr>
          <w:rFonts w:ascii="Times New Roman" w:hAnsi="Times New Roman" w:cs="Times New Roman"/>
          <w:sz w:val="24"/>
          <w:szCs w:val="24"/>
        </w:rPr>
        <w:t>In the present case the appellant could not use its contents with</w:t>
      </w:r>
      <w:r w:rsidR="00E515DF" w:rsidRPr="00623182">
        <w:rPr>
          <w:rFonts w:ascii="Times New Roman" w:hAnsi="Times New Roman" w:cs="Times New Roman"/>
          <w:sz w:val="24"/>
          <w:szCs w:val="24"/>
        </w:rPr>
        <w:t>out</w:t>
      </w:r>
      <w:r w:rsidR="00D027BB" w:rsidRPr="00623182">
        <w:rPr>
          <w:rFonts w:ascii="Times New Roman" w:hAnsi="Times New Roman" w:cs="Times New Roman"/>
          <w:sz w:val="24"/>
          <w:szCs w:val="24"/>
        </w:rPr>
        <w:t xml:space="preserve"> first establishing whether or not it was issued after 1</w:t>
      </w:r>
      <w:r w:rsidR="00D027BB" w:rsidRPr="00623182">
        <w:rPr>
          <w:rFonts w:ascii="Times New Roman" w:hAnsi="Times New Roman" w:cs="Times New Roman"/>
          <w:sz w:val="24"/>
          <w:szCs w:val="24"/>
          <w:vertAlign w:val="superscript"/>
        </w:rPr>
        <w:t>st</w:t>
      </w:r>
      <w:r w:rsidR="00D027BB" w:rsidRPr="00623182">
        <w:rPr>
          <w:rFonts w:ascii="Times New Roman" w:hAnsi="Times New Roman" w:cs="Times New Roman"/>
          <w:sz w:val="24"/>
          <w:szCs w:val="24"/>
        </w:rPr>
        <w:t xml:space="preserve"> January 2007. </w:t>
      </w:r>
      <w:r w:rsidR="000576F7" w:rsidRPr="00623182">
        <w:rPr>
          <w:rFonts w:ascii="Times New Roman" w:hAnsi="Times New Roman" w:cs="Times New Roman"/>
          <w:sz w:val="24"/>
          <w:szCs w:val="24"/>
        </w:rPr>
        <w:t>Thus irrespective of the concession made by the respondent in its case, I am satisfied that even if I were to find that the practice was in existence at the time the self-assessment</w:t>
      </w:r>
      <w:r w:rsidR="00E515DF" w:rsidRPr="00623182">
        <w:rPr>
          <w:rFonts w:ascii="Times New Roman" w:hAnsi="Times New Roman" w:cs="Times New Roman"/>
          <w:sz w:val="24"/>
          <w:szCs w:val="24"/>
        </w:rPr>
        <w:t>s were issued, the appellant</w:t>
      </w:r>
      <w:r w:rsidR="000576F7" w:rsidRPr="00623182">
        <w:rPr>
          <w:rFonts w:ascii="Times New Roman" w:hAnsi="Times New Roman" w:cs="Times New Roman"/>
          <w:sz w:val="24"/>
          <w:szCs w:val="24"/>
        </w:rPr>
        <w:t xml:space="preserve"> failed to established that it abided by the conditions to which the practice related. </w:t>
      </w:r>
    </w:p>
    <w:p w:rsidR="00EF1753" w:rsidRPr="00623182" w:rsidRDefault="00530C7F" w:rsidP="00530C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F1753" w:rsidRPr="00623182">
        <w:rPr>
          <w:rFonts w:ascii="Times New Roman" w:hAnsi="Times New Roman" w:cs="Times New Roman"/>
          <w:sz w:val="24"/>
          <w:szCs w:val="24"/>
        </w:rPr>
        <w:t>I therefore hold th</w:t>
      </w:r>
      <w:r w:rsidR="00944BC5" w:rsidRPr="00623182">
        <w:rPr>
          <w:rFonts w:ascii="Times New Roman" w:hAnsi="Times New Roman" w:cs="Times New Roman"/>
          <w:sz w:val="24"/>
          <w:szCs w:val="24"/>
        </w:rPr>
        <w:t>at th</w:t>
      </w:r>
      <w:r w:rsidR="00EF1753" w:rsidRPr="00623182">
        <w:rPr>
          <w:rFonts w:ascii="Times New Roman" w:hAnsi="Times New Roman" w:cs="Times New Roman"/>
          <w:sz w:val="24"/>
          <w:szCs w:val="24"/>
        </w:rPr>
        <w:t xml:space="preserve">e appellant could not rely on the alleged practice generally prevailing to claim the deductions it sought in the self-assessments. They were properly disallowed by the respondent. </w:t>
      </w:r>
    </w:p>
    <w:p w:rsidR="00126947" w:rsidRPr="00623182" w:rsidRDefault="00126947" w:rsidP="00530C7F">
      <w:pPr>
        <w:spacing w:after="0" w:line="360" w:lineRule="auto"/>
        <w:ind w:left="360" w:firstLine="360"/>
        <w:jc w:val="both"/>
        <w:rPr>
          <w:rFonts w:ascii="Times New Roman" w:hAnsi="Times New Roman" w:cs="Times New Roman"/>
          <w:i/>
          <w:sz w:val="24"/>
          <w:szCs w:val="24"/>
        </w:rPr>
      </w:pPr>
      <w:r w:rsidRPr="00623182">
        <w:rPr>
          <w:rFonts w:ascii="Times New Roman" w:hAnsi="Times New Roman" w:cs="Times New Roman"/>
          <w:i/>
          <w:sz w:val="24"/>
          <w:szCs w:val="24"/>
        </w:rPr>
        <w:t xml:space="preserve">If they were accruals, whether appellant was liable to pay PAYE on such amounts </w:t>
      </w:r>
    </w:p>
    <w:p w:rsidR="00505377" w:rsidRPr="00623182" w:rsidRDefault="00530C7F" w:rsidP="00530C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26947" w:rsidRPr="00623182">
        <w:rPr>
          <w:rFonts w:ascii="Times New Roman" w:hAnsi="Times New Roman" w:cs="Times New Roman"/>
          <w:sz w:val="24"/>
          <w:szCs w:val="24"/>
        </w:rPr>
        <w:t xml:space="preserve">It is unnecessary to determine this issue in view of my findings above.  However, for what </w:t>
      </w:r>
      <w:r w:rsidR="00944BC5" w:rsidRPr="00623182">
        <w:rPr>
          <w:rFonts w:ascii="Times New Roman" w:hAnsi="Times New Roman" w:cs="Times New Roman"/>
          <w:sz w:val="24"/>
          <w:szCs w:val="24"/>
        </w:rPr>
        <w:t>is worth, I would have held,</w:t>
      </w:r>
      <w:r w:rsidR="00126947" w:rsidRPr="00623182">
        <w:rPr>
          <w:rFonts w:ascii="Times New Roman" w:hAnsi="Times New Roman" w:cs="Times New Roman"/>
          <w:sz w:val="24"/>
          <w:szCs w:val="24"/>
        </w:rPr>
        <w:t xml:space="preserve"> had the amounts been incurred in the year of assessment in whi</w:t>
      </w:r>
      <w:r w:rsidR="00944BC5" w:rsidRPr="00623182">
        <w:rPr>
          <w:rFonts w:ascii="Times New Roman" w:hAnsi="Times New Roman" w:cs="Times New Roman"/>
          <w:sz w:val="24"/>
          <w:szCs w:val="24"/>
        </w:rPr>
        <w:t>ch they were deducted, the appellant</w:t>
      </w:r>
      <w:r w:rsidR="0010201A" w:rsidRPr="00623182">
        <w:rPr>
          <w:rFonts w:ascii="Times New Roman" w:hAnsi="Times New Roman" w:cs="Times New Roman"/>
          <w:sz w:val="24"/>
          <w:szCs w:val="24"/>
        </w:rPr>
        <w:t xml:space="preserve"> liable for PAYE in terms of s 73</w:t>
      </w:r>
      <w:r w:rsidR="00740BC0" w:rsidRPr="00623182">
        <w:rPr>
          <w:rFonts w:ascii="Times New Roman" w:hAnsi="Times New Roman" w:cs="Times New Roman"/>
          <w:sz w:val="24"/>
          <w:szCs w:val="24"/>
        </w:rPr>
        <w:t xml:space="preserve"> (1)</w:t>
      </w:r>
      <w:r w:rsidR="0010201A" w:rsidRPr="00623182">
        <w:rPr>
          <w:rFonts w:ascii="Times New Roman" w:hAnsi="Times New Roman" w:cs="Times New Roman"/>
          <w:sz w:val="24"/>
          <w:szCs w:val="24"/>
        </w:rPr>
        <w:t xml:space="preserve"> as read with para</w:t>
      </w:r>
      <w:r w:rsidR="003068B7" w:rsidRPr="00623182">
        <w:rPr>
          <w:rFonts w:ascii="Times New Roman" w:hAnsi="Times New Roman" w:cs="Times New Roman"/>
          <w:sz w:val="24"/>
          <w:szCs w:val="24"/>
        </w:rPr>
        <w:t xml:space="preserve"> 1 and</w:t>
      </w:r>
      <w:r w:rsidR="0010201A" w:rsidRPr="00623182">
        <w:rPr>
          <w:rFonts w:ascii="Times New Roman" w:hAnsi="Times New Roman" w:cs="Times New Roman"/>
          <w:sz w:val="24"/>
          <w:szCs w:val="24"/>
        </w:rPr>
        <w:t xml:space="preserve"> 3 of the 13</w:t>
      </w:r>
      <w:r w:rsidR="0010201A" w:rsidRPr="00623182">
        <w:rPr>
          <w:rFonts w:ascii="Times New Roman" w:hAnsi="Times New Roman" w:cs="Times New Roman"/>
          <w:sz w:val="24"/>
          <w:szCs w:val="24"/>
          <w:vertAlign w:val="superscript"/>
        </w:rPr>
        <w:t>th</w:t>
      </w:r>
      <w:r w:rsidR="0010201A" w:rsidRPr="00623182">
        <w:rPr>
          <w:rFonts w:ascii="Times New Roman" w:hAnsi="Times New Roman" w:cs="Times New Roman"/>
          <w:sz w:val="24"/>
          <w:szCs w:val="24"/>
        </w:rPr>
        <w:t xml:space="preserve"> Schedule to the Income Tax Act. </w:t>
      </w:r>
      <w:r w:rsidR="007365EE" w:rsidRPr="00623182">
        <w:rPr>
          <w:rFonts w:ascii="Times New Roman" w:hAnsi="Times New Roman" w:cs="Times New Roman"/>
          <w:sz w:val="24"/>
          <w:szCs w:val="24"/>
        </w:rPr>
        <w:t xml:space="preserve"> Para 1 thereof defi</w:t>
      </w:r>
      <w:r w:rsidR="00F56572">
        <w:rPr>
          <w:rFonts w:ascii="Times New Roman" w:hAnsi="Times New Roman" w:cs="Times New Roman"/>
          <w:sz w:val="24"/>
          <w:szCs w:val="24"/>
        </w:rPr>
        <w:t xml:space="preserve">nes remuneration as any amount </w:t>
      </w:r>
      <w:r w:rsidR="007365EE" w:rsidRPr="00623182">
        <w:rPr>
          <w:rFonts w:ascii="Times New Roman" w:hAnsi="Times New Roman" w:cs="Times New Roman"/>
          <w:sz w:val="24"/>
          <w:szCs w:val="24"/>
        </w:rPr>
        <w:t>which is “paid or payable to any person by way of (</w:t>
      </w:r>
      <w:r w:rsidR="007365EE" w:rsidRPr="00623182">
        <w:rPr>
          <w:rFonts w:ascii="Times New Roman" w:hAnsi="Times New Roman" w:cs="Times New Roman"/>
          <w:i/>
          <w:sz w:val="24"/>
          <w:szCs w:val="24"/>
        </w:rPr>
        <w:t>inter alia)</w:t>
      </w:r>
      <w:r w:rsidR="007365EE" w:rsidRPr="00623182">
        <w:rPr>
          <w:rFonts w:ascii="Times New Roman" w:hAnsi="Times New Roman" w:cs="Times New Roman"/>
          <w:sz w:val="24"/>
          <w:szCs w:val="24"/>
        </w:rPr>
        <w:t xml:space="preserve"> leave pay, bonus, gratuity”</w:t>
      </w:r>
      <w:r w:rsidR="00C6594E" w:rsidRPr="00623182">
        <w:rPr>
          <w:rFonts w:ascii="Times New Roman" w:hAnsi="Times New Roman" w:cs="Times New Roman"/>
          <w:sz w:val="24"/>
          <w:szCs w:val="24"/>
        </w:rPr>
        <w:t>, while para 3 obliges every employer who pays or becomes liable to pay any amount by way of remuneration to withhold the appropriate PAYE and remit it to the Commissioner. In my view</w:t>
      </w:r>
      <w:r w:rsidR="00CC21BB">
        <w:rPr>
          <w:rFonts w:ascii="Times New Roman" w:hAnsi="Times New Roman" w:cs="Times New Roman"/>
          <w:sz w:val="24"/>
          <w:szCs w:val="24"/>
        </w:rPr>
        <w:t>,</w:t>
      </w:r>
      <w:r w:rsidR="00C6594E" w:rsidRPr="00623182">
        <w:rPr>
          <w:rFonts w:ascii="Times New Roman" w:hAnsi="Times New Roman" w:cs="Times New Roman"/>
          <w:sz w:val="24"/>
          <w:szCs w:val="24"/>
        </w:rPr>
        <w:t xml:space="preserve"> the terms “payable” and “becomes liable to pay” are synonymous with incurred.  I would, therefore have found the appellant </w:t>
      </w:r>
      <w:r w:rsidR="009412BB" w:rsidRPr="00623182">
        <w:rPr>
          <w:rFonts w:ascii="Times New Roman" w:hAnsi="Times New Roman" w:cs="Times New Roman"/>
          <w:sz w:val="24"/>
          <w:szCs w:val="24"/>
        </w:rPr>
        <w:t>liable for PAYE on the</w:t>
      </w:r>
      <w:r w:rsidR="00C6594E" w:rsidRPr="00623182">
        <w:rPr>
          <w:rFonts w:ascii="Times New Roman" w:hAnsi="Times New Roman" w:cs="Times New Roman"/>
          <w:sz w:val="24"/>
          <w:szCs w:val="24"/>
        </w:rPr>
        <w:t xml:space="preserve"> deductions</w:t>
      </w:r>
      <w:r w:rsidR="009412BB" w:rsidRPr="00623182">
        <w:rPr>
          <w:rFonts w:ascii="Times New Roman" w:hAnsi="Times New Roman" w:cs="Times New Roman"/>
          <w:sz w:val="24"/>
          <w:szCs w:val="24"/>
        </w:rPr>
        <w:t xml:space="preserve"> in dispute</w:t>
      </w:r>
      <w:r w:rsidR="00C6594E" w:rsidRPr="00623182">
        <w:rPr>
          <w:rFonts w:ascii="Times New Roman" w:hAnsi="Times New Roman" w:cs="Times New Roman"/>
          <w:sz w:val="24"/>
          <w:szCs w:val="24"/>
        </w:rPr>
        <w:t>.</w:t>
      </w:r>
    </w:p>
    <w:p w:rsidR="00B20E04" w:rsidRPr="00623182" w:rsidRDefault="00B20E04" w:rsidP="00530C7F">
      <w:pPr>
        <w:spacing w:after="0" w:line="360" w:lineRule="auto"/>
        <w:ind w:left="360" w:firstLine="360"/>
        <w:jc w:val="both"/>
        <w:rPr>
          <w:rFonts w:ascii="Times New Roman" w:hAnsi="Times New Roman" w:cs="Times New Roman"/>
          <w:i/>
          <w:sz w:val="24"/>
          <w:szCs w:val="24"/>
        </w:rPr>
      </w:pPr>
      <w:r w:rsidRPr="00623182">
        <w:rPr>
          <w:rFonts w:ascii="Times New Roman" w:hAnsi="Times New Roman" w:cs="Times New Roman"/>
          <w:i/>
          <w:sz w:val="24"/>
          <w:szCs w:val="24"/>
        </w:rPr>
        <w:t xml:space="preserve">Whether or not it was appropriate to impose a penalty and if so the quantum thereof </w:t>
      </w:r>
    </w:p>
    <w:p w:rsidR="00B20E04" w:rsidRPr="00623182" w:rsidRDefault="00530C7F" w:rsidP="00530C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77C72" w:rsidRPr="00623182">
        <w:rPr>
          <w:rFonts w:ascii="Times New Roman" w:hAnsi="Times New Roman" w:cs="Times New Roman"/>
          <w:sz w:val="24"/>
          <w:szCs w:val="24"/>
        </w:rPr>
        <w:t xml:space="preserve">The case of </w:t>
      </w:r>
      <w:r w:rsidR="00877C72" w:rsidRPr="00623182">
        <w:rPr>
          <w:rFonts w:ascii="Times New Roman" w:hAnsi="Times New Roman" w:cs="Times New Roman"/>
          <w:i/>
          <w:sz w:val="24"/>
          <w:szCs w:val="24"/>
        </w:rPr>
        <w:t xml:space="preserve">PL Mines (Pvt) Ltd </w:t>
      </w:r>
      <w:r w:rsidR="00877C72" w:rsidRPr="00530C7F">
        <w:rPr>
          <w:rFonts w:ascii="Times New Roman" w:hAnsi="Times New Roman" w:cs="Times New Roman"/>
          <w:sz w:val="24"/>
          <w:szCs w:val="24"/>
        </w:rPr>
        <w:t>v</w:t>
      </w:r>
      <w:r w:rsidR="00877C72" w:rsidRPr="00623182">
        <w:rPr>
          <w:rFonts w:ascii="Times New Roman" w:hAnsi="Times New Roman" w:cs="Times New Roman"/>
          <w:i/>
          <w:sz w:val="24"/>
          <w:szCs w:val="24"/>
        </w:rPr>
        <w:t xml:space="preserve"> Zimbabwe Revenue Authority</w:t>
      </w:r>
      <w:r w:rsidR="00877C72" w:rsidRPr="00623182">
        <w:rPr>
          <w:rFonts w:ascii="Times New Roman" w:hAnsi="Times New Roman" w:cs="Times New Roman"/>
          <w:sz w:val="24"/>
          <w:szCs w:val="24"/>
        </w:rPr>
        <w:t xml:space="preserve"> 2015 (1) ZLR 708 (H) at 730B-D sets out the principles governing the imposition of a penalty and emphasizes the point that the appeal court is not bound by the Commissioner’s considerations of penalty. </w:t>
      </w:r>
      <w:r w:rsidR="006223DB" w:rsidRPr="00623182">
        <w:rPr>
          <w:rFonts w:ascii="Times New Roman" w:hAnsi="Times New Roman" w:cs="Times New Roman"/>
          <w:sz w:val="24"/>
          <w:szCs w:val="24"/>
        </w:rPr>
        <w:t xml:space="preserve">I had the uncanny feeling that Mr </w:t>
      </w:r>
      <w:r w:rsidR="006223DB" w:rsidRPr="00623182">
        <w:rPr>
          <w:rFonts w:ascii="Times New Roman" w:hAnsi="Times New Roman" w:cs="Times New Roman"/>
          <w:i/>
          <w:sz w:val="24"/>
          <w:szCs w:val="24"/>
        </w:rPr>
        <w:t>de Bourbon</w:t>
      </w:r>
      <w:r w:rsidR="006223DB" w:rsidRPr="00623182">
        <w:rPr>
          <w:rFonts w:ascii="Times New Roman" w:hAnsi="Times New Roman" w:cs="Times New Roman"/>
          <w:sz w:val="24"/>
          <w:szCs w:val="24"/>
        </w:rPr>
        <w:t xml:space="preserve"> sought to bind me to the finding by the Commissioner that the appellant in the words of s 46 (6) in rendering a</w:t>
      </w:r>
      <w:r w:rsidR="00915DD7" w:rsidRPr="00623182">
        <w:rPr>
          <w:rFonts w:ascii="Times New Roman" w:hAnsi="Times New Roman" w:cs="Times New Roman"/>
          <w:sz w:val="24"/>
          <w:szCs w:val="24"/>
        </w:rPr>
        <w:t>n incorrect return in each year</w:t>
      </w:r>
      <w:r w:rsidR="00A37A15" w:rsidRPr="00623182">
        <w:rPr>
          <w:rFonts w:ascii="Times New Roman" w:hAnsi="Times New Roman" w:cs="Times New Roman"/>
          <w:sz w:val="24"/>
          <w:szCs w:val="24"/>
        </w:rPr>
        <w:t xml:space="preserve"> did not</w:t>
      </w:r>
      <w:r w:rsidR="006223DB" w:rsidRPr="00623182">
        <w:rPr>
          <w:rFonts w:ascii="Times New Roman" w:hAnsi="Times New Roman" w:cs="Times New Roman"/>
          <w:sz w:val="24"/>
          <w:szCs w:val="24"/>
        </w:rPr>
        <w:t xml:space="preserve"> intend to defraud the revenue or to postpone the payment of the tax as chargeable, or intend to evade tax.  </w:t>
      </w:r>
      <w:r w:rsidR="00504E5C" w:rsidRPr="00623182">
        <w:rPr>
          <w:rFonts w:ascii="Times New Roman" w:hAnsi="Times New Roman" w:cs="Times New Roman"/>
          <w:sz w:val="24"/>
          <w:szCs w:val="24"/>
        </w:rPr>
        <w:t xml:space="preserve">He sought to persuade me to waive the penalty in full on the basis of the opinion expressed by </w:t>
      </w:r>
      <w:r w:rsidRPr="00530C7F">
        <w:rPr>
          <w:rFonts w:ascii="Times New Roman" w:hAnsi="Times New Roman" w:cs="Times New Roman"/>
          <w:smallCaps/>
          <w:sz w:val="24"/>
          <w:szCs w:val="24"/>
        </w:rPr>
        <w:t>davis j</w:t>
      </w:r>
      <w:r w:rsidR="00504E5C" w:rsidRPr="00623182">
        <w:rPr>
          <w:rFonts w:ascii="Times New Roman" w:hAnsi="Times New Roman" w:cs="Times New Roman"/>
          <w:sz w:val="24"/>
          <w:szCs w:val="24"/>
        </w:rPr>
        <w:t xml:space="preserve"> in </w:t>
      </w:r>
      <w:r w:rsidR="00504E5C" w:rsidRPr="00623182">
        <w:rPr>
          <w:rFonts w:ascii="Times New Roman" w:hAnsi="Times New Roman" w:cs="Times New Roman"/>
          <w:i/>
          <w:sz w:val="24"/>
          <w:szCs w:val="24"/>
        </w:rPr>
        <w:t xml:space="preserve">ITC 1725 </w:t>
      </w:r>
      <w:r w:rsidR="00504E5C" w:rsidRPr="00623182">
        <w:rPr>
          <w:rFonts w:ascii="Times New Roman" w:hAnsi="Times New Roman" w:cs="Times New Roman"/>
          <w:sz w:val="24"/>
          <w:szCs w:val="24"/>
        </w:rPr>
        <w:t>(2000) 64 SATC 223 (C) at 235-</w:t>
      </w:r>
      <w:r w:rsidR="00504E5C" w:rsidRPr="00623182">
        <w:rPr>
          <w:rFonts w:ascii="Times New Roman" w:hAnsi="Times New Roman" w:cs="Times New Roman"/>
          <w:sz w:val="24"/>
          <w:szCs w:val="24"/>
        </w:rPr>
        <w:lastRenderedPageBreak/>
        <w:t xml:space="preserve">236 to the effect that the application of legitimate tax planning mechanisms by a taxpayer with the help of professional advice, </w:t>
      </w:r>
      <w:r w:rsidR="00090B46" w:rsidRPr="00623182">
        <w:rPr>
          <w:rFonts w:ascii="Times New Roman" w:hAnsi="Times New Roman" w:cs="Times New Roman"/>
          <w:sz w:val="24"/>
          <w:szCs w:val="24"/>
        </w:rPr>
        <w:t>which did not amount to tax evasion but to tax avoidance</w:t>
      </w:r>
      <w:r w:rsidR="00504E5C" w:rsidRPr="00623182">
        <w:rPr>
          <w:rFonts w:ascii="Times New Roman" w:hAnsi="Times New Roman" w:cs="Times New Roman"/>
          <w:sz w:val="24"/>
          <w:szCs w:val="24"/>
        </w:rPr>
        <w:t xml:space="preserve">, should not be punished at all. </w:t>
      </w:r>
      <w:r w:rsidR="00EB2847" w:rsidRPr="00623182">
        <w:rPr>
          <w:rFonts w:ascii="Times New Roman" w:hAnsi="Times New Roman" w:cs="Times New Roman"/>
          <w:sz w:val="24"/>
          <w:szCs w:val="24"/>
        </w:rPr>
        <w:t xml:space="preserve">It seems to me that such a proposition is foreign to our approach where </w:t>
      </w:r>
      <w:r w:rsidRPr="00530C7F">
        <w:rPr>
          <w:rFonts w:ascii="Times New Roman" w:hAnsi="Times New Roman" w:cs="Times New Roman"/>
          <w:smallCaps/>
          <w:sz w:val="24"/>
          <w:szCs w:val="24"/>
        </w:rPr>
        <w:t>macdonald jp</w:t>
      </w:r>
      <w:r w:rsidR="00915DD7" w:rsidRPr="00623182">
        <w:rPr>
          <w:rFonts w:ascii="Times New Roman" w:hAnsi="Times New Roman" w:cs="Times New Roman"/>
          <w:sz w:val="24"/>
          <w:szCs w:val="24"/>
        </w:rPr>
        <w:t xml:space="preserve">, as he then was, </w:t>
      </w:r>
      <w:r w:rsidR="00EB2847" w:rsidRPr="00623182">
        <w:rPr>
          <w:rFonts w:ascii="Times New Roman" w:hAnsi="Times New Roman" w:cs="Times New Roman"/>
          <w:sz w:val="24"/>
          <w:szCs w:val="24"/>
        </w:rPr>
        <w:t xml:space="preserve">in </w:t>
      </w:r>
      <w:r w:rsidR="00EB2847" w:rsidRPr="00623182">
        <w:rPr>
          <w:rFonts w:ascii="Times New Roman" w:hAnsi="Times New Roman" w:cs="Times New Roman"/>
          <w:i/>
          <w:sz w:val="24"/>
          <w:szCs w:val="24"/>
        </w:rPr>
        <w:t xml:space="preserve">F </w:t>
      </w:r>
      <w:r w:rsidR="00EB2847" w:rsidRPr="00530C7F">
        <w:rPr>
          <w:rFonts w:ascii="Times New Roman" w:hAnsi="Times New Roman" w:cs="Times New Roman"/>
          <w:sz w:val="24"/>
          <w:szCs w:val="24"/>
        </w:rPr>
        <w:t>v</w:t>
      </w:r>
      <w:r w:rsidR="00EB2847" w:rsidRPr="00623182">
        <w:rPr>
          <w:rFonts w:ascii="Times New Roman" w:hAnsi="Times New Roman" w:cs="Times New Roman"/>
          <w:i/>
          <w:sz w:val="24"/>
          <w:szCs w:val="24"/>
        </w:rPr>
        <w:t xml:space="preserve"> Commissioner of Taxes</w:t>
      </w:r>
      <w:r w:rsidR="00EB2847" w:rsidRPr="00623182">
        <w:rPr>
          <w:rFonts w:ascii="Times New Roman" w:hAnsi="Times New Roman" w:cs="Times New Roman"/>
          <w:sz w:val="24"/>
          <w:szCs w:val="24"/>
        </w:rPr>
        <w:t xml:space="preserve"> </w:t>
      </w:r>
      <w:r w:rsidR="00090B46" w:rsidRPr="00623182">
        <w:rPr>
          <w:rFonts w:ascii="Times New Roman" w:hAnsi="Times New Roman" w:cs="Times New Roman"/>
          <w:sz w:val="24"/>
          <w:szCs w:val="24"/>
        </w:rPr>
        <w:t xml:space="preserve">1976 (1) RLR </w:t>
      </w:r>
      <w:r w:rsidR="00F80EBF" w:rsidRPr="00623182">
        <w:rPr>
          <w:rFonts w:ascii="Times New Roman" w:hAnsi="Times New Roman" w:cs="Times New Roman"/>
          <w:sz w:val="24"/>
          <w:szCs w:val="24"/>
        </w:rPr>
        <w:t>106 (A) at 113D</w:t>
      </w:r>
      <w:r w:rsidR="00090B46" w:rsidRPr="00623182">
        <w:rPr>
          <w:rFonts w:ascii="Times New Roman" w:hAnsi="Times New Roman" w:cs="Times New Roman"/>
          <w:sz w:val="24"/>
          <w:szCs w:val="24"/>
        </w:rPr>
        <w:t xml:space="preserve"> described the practice of tax avoidance as evil. </w:t>
      </w:r>
      <w:r w:rsidR="000A0459" w:rsidRPr="00623182">
        <w:rPr>
          <w:rFonts w:ascii="Times New Roman" w:hAnsi="Times New Roman" w:cs="Times New Roman"/>
          <w:sz w:val="24"/>
          <w:szCs w:val="24"/>
        </w:rPr>
        <w:t xml:space="preserve">It seems to me that such a practice deserves censure especially in regards to the present matter where the appellant disingenuously </w:t>
      </w:r>
      <w:r w:rsidR="00915DD7" w:rsidRPr="00623182">
        <w:rPr>
          <w:rFonts w:ascii="Times New Roman" w:hAnsi="Times New Roman" w:cs="Times New Roman"/>
          <w:sz w:val="24"/>
          <w:szCs w:val="24"/>
        </w:rPr>
        <w:t xml:space="preserve">and pretentiously </w:t>
      </w:r>
      <w:r w:rsidR="000A0459" w:rsidRPr="00623182">
        <w:rPr>
          <w:rFonts w:ascii="Times New Roman" w:hAnsi="Times New Roman" w:cs="Times New Roman"/>
          <w:sz w:val="24"/>
          <w:szCs w:val="24"/>
        </w:rPr>
        <w:t xml:space="preserve">sought to rely on a </w:t>
      </w:r>
      <w:r w:rsidR="00915DD7" w:rsidRPr="00623182">
        <w:rPr>
          <w:rFonts w:ascii="Times New Roman" w:hAnsi="Times New Roman" w:cs="Times New Roman"/>
          <w:sz w:val="24"/>
          <w:szCs w:val="24"/>
        </w:rPr>
        <w:t>“</w:t>
      </w:r>
      <w:r w:rsidR="000A0459" w:rsidRPr="00623182">
        <w:rPr>
          <w:rFonts w:ascii="Times New Roman" w:hAnsi="Times New Roman" w:cs="Times New Roman"/>
          <w:sz w:val="24"/>
          <w:szCs w:val="24"/>
        </w:rPr>
        <w:t>practice generally prevailing</w:t>
      </w:r>
      <w:r w:rsidR="0065384A" w:rsidRPr="00623182">
        <w:rPr>
          <w:rFonts w:ascii="Times New Roman" w:hAnsi="Times New Roman" w:cs="Times New Roman"/>
          <w:sz w:val="24"/>
          <w:szCs w:val="24"/>
        </w:rPr>
        <w:t>”</w:t>
      </w:r>
      <w:r w:rsidR="000A0459" w:rsidRPr="00623182">
        <w:rPr>
          <w:rFonts w:ascii="Times New Roman" w:hAnsi="Times New Roman" w:cs="Times New Roman"/>
          <w:sz w:val="24"/>
          <w:szCs w:val="24"/>
        </w:rPr>
        <w:t xml:space="preserve"> which it failed to abide by. </w:t>
      </w:r>
    </w:p>
    <w:p w:rsidR="007305FF" w:rsidRPr="00623182" w:rsidRDefault="00ED04F6" w:rsidP="00530C7F">
      <w:pPr>
        <w:spacing w:after="0" w:line="360" w:lineRule="auto"/>
        <w:ind w:firstLine="720"/>
        <w:jc w:val="both"/>
        <w:rPr>
          <w:rFonts w:ascii="Times New Roman" w:hAnsi="Times New Roman" w:cs="Times New Roman"/>
          <w:sz w:val="24"/>
          <w:szCs w:val="24"/>
        </w:rPr>
      </w:pPr>
      <w:r w:rsidRPr="00623182">
        <w:rPr>
          <w:rFonts w:ascii="Times New Roman" w:hAnsi="Times New Roman" w:cs="Times New Roman"/>
          <w:sz w:val="24"/>
          <w:szCs w:val="24"/>
        </w:rPr>
        <w:t xml:space="preserve">Like the Commissioner I take into account </w:t>
      </w:r>
      <w:r w:rsidR="0065384A" w:rsidRPr="00623182">
        <w:rPr>
          <w:rFonts w:ascii="Times New Roman" w:hAnsi="Times New Roman" w:cs="Times New Roman"/>
          <w:sz w:val="24"/>
          <w:szCs w:val="24"/>
        </w:rPr>
        <w:t xml:space="preserve">the </w:t>
      </w:r>
      <w:r w:rsidRPr="00623182">
        <w:rPr>
          <w:rFonts w:ascii="Times New Roman" w:hAnsi="Times New Roman" w:cs="Times New Roman"/>
          <w:sz w:val="24"/>
          <w:szCs w:val="24"/>
        </w:rPr>
        <w:t>personal circumstances of the taxpa</w:t>
      </w:r>
      <w:r w:rsidR="0065384A" w:rsidRPr="00623182">
        <w:rPr>
          <w:rFonts w:ascii="Times New Roman" w:hAnsi="Times New Roman" w:cs="Times New Roman"/>
          <w:sz w:val="24"/>
          <w:szCs w:val="24"/>
        </w:rPr>
        <w:t xml:space="preserve">yer. It is a first offender, which </w:t>
      </w:r>
      <w:r w:rsidRPr="00623182">
        <w:rPr>
          <w:rFonts w:ascii="Times New Roman" w:hAnsi="Times New Roman" w:cs="Times New Roman"/>
          <w:sz w:val="24"/>
          <w:szCs w:val="24"/>
        </w:rPr>
        <w:t>was always a law</w:t>
      </w:r>
      <w:r w:rsidR="0065384A" w:rsidRPr="00623182">
        <w:rPr>
          <w:rFonts w:ascii="Times New Roman" w:hAnsi="Times New Roman" w:cs="Times New Roman"/>
          <w:sz w:val="24"/>
          <w:szCs w:val="24"/>
        </w:rPr>
        <w:t xml:space="preserve"> abiding corporate citizen that</w:t>
      </w:r>
      <w:r w:rsidRPr="00623182">
        <w:rPr>
          <w:rFonts w:ascii="Times New Roman" w:hAnsi="Times New Roman" w:cs="Times New Roman"/>
          <w:sz w:val="24"/>
          <w:szCs w:val="24"/>
        </w:rPr>
        <w:t xml:space="preserve"> but f</w:t>
      </w:r>
      <w:r w:rsidR="0065384A" w:rsidRPr="00623182">
        <w:rPr>
          <w:rFonts w:ascii="Times New Roman" w:hAnsi="Times New Roman" w:cs="Times New Roman"/>
          <w:sz w:val="24"/>
          <w:szCs w:val="24"/>
        </w:rPr>
        <w:t>or the present matter discharged</w:t>
      </w:r>
      <w:r w:rsidRPr="00623182">
        <w:rPr>
          <w:rFonts w:ascii="Times New Roman" w:hAnsi="Times New Roman" w:cs="Times New Roman"/>
          <w:sz w:val="24"/>
          <w:szCs w:val="24"/>
        </w:rPr>
        <w:t xml:space="preserve"> its tax obligations diligently. In submitting incorrect returns, the appellant appeared genuinely unaware of the charge in practice. The failure to abide by the requirements </w:t>
      </w:r>
      <w:r w:rsidR="002A7719" w:rsidRPr="00623182">
        <w:rPr>
          <w:rFonts w:ascii="Times New Roman" w:hAnsi="Times New Roman" w:cs="Times New Roman"/>
          <w:sz w:val="24"/>
          <w:szCs w:val="24"/>
        </w:rPr>
        <w:t xml:space="preserve">of the </w:t>
      </w:r>
      <w:r w:rsidRPr="00623182">
        <w:rPr>
          <w:rFonts w:ascii="Times New Roman" w:hAnsi="Times New Roman" w:cs="Times New Roman"/>
          <w:sz w:val="24"/>
          <w:szCs w:val="24"/>
        </w:rPr>
        <w:t xml:space="preserve">purported practice obviously raised the appellant’s moral turpitude. </w:t>
      </w:r>
      <w:r w:rsidR="002A7719" w:rsidRPr="00623182">
        <w:rPr>
          <w:rFonts w:ascii="Times New Roman" w:hAnsi="Times New Roman" w:cs="Times New Roman"/>
          <w:sz w:val="24"/>
          <w:szCs w:val="24"/>
        </w:rPr>
        <w:t>It underpaid on the appropriate tax due. The amount was not an insignificant figure. I</w:t>
      </w:r>
      <w:r w:rsidRPr="00623182">
        <w:rPr>
          <w:rFonts w:ascii="Times New Roman" w:hAnsi="Times New Roman" w:cs="Times New Roman"/>
          <w:sz w:val="24"/>
          <w:szCs w:val="24"/>
        </w:rPr>
        <w:t xml:space="preserve"> have agonised over whether the failure to abide by the requirements of the purported practice demonstrated an intention to defraud the revenue or even the lesser intention of postponing the payment of the proper tax chargeable. </w:t>
      </w:r>
      <w:r w:rsidR="005C3F97" w:rsidRPr="00623182">
        <w:rPr>
          <w:rFonts w:ascii="Times New Roman" w:hAnsi="Times New Roman" w:cs="Times New Roman"/>
          <w:sz w:val="24"/>
          <w:szCs w:val="24"/>
        </w:rPr>
        <w:t xml:space="preserve">In submissions before me Mr </w:t>
      </w:r>
      <w:r w:rsidR="005C3F97" w:rsidRPr="00623182">
        <w:rPr>
          <w:rFonts w:ascii="Times New Roman" w:hAnsi="Times New Roman" w:cs="Times New Roman"/>
          <w:i/>
          <w:sz w:val="24"/>
          <w:szCs w:val="24"/>
        </w:rPr>
        <w:t>Magwaliba c</w:t>
      </w:r>
      <w:r w:rsidR="005C3F97" w:rsidRPr="00623182">
        <w:rPr>
          <w:rFonts w:ascii="Times New Roman" w:hAnsi="Times New Roman" w:cs="Times New Roman"/>
          <w:sz w:val="24"/>
          <w:szCs w:val="24"/>
        </w:rPr>
        <w:t xml:space="preserve">onceded that the appellant did not intend to evade tax or defraud the revenue but submitted that the penalty imposed by the Commissioner was most appropriate. Without the benefit of argument on this issue, all I can say is that the conduct of the appellant </w:t>
      </w:r>
      <w:r w:rsidR="002A7719" w:rsidRPr="00623182">
        <w:rPr>
          <w:rFonts w:ascii="Times New Roman" w:hAnsi="Times New Roman" w:cs="Times New Roman"/>
          <w:sz w:val="24"/>
          <w:szCs w:val="24"/>
        </w:rPr>
        <w:t>came perilously close</w:t>
      </w:r>
      <w:r w:rsidR="005C3F97" w:rsidRPr="00623182">
        <w:rPr>
          <w:rFonts w:ascii="Times New Roman" w:hAnsi="Times New Roman" w:cs="Times New Roman"/>
          <w:sz w:val="24"/>
          <w:szCs w:val="24"/>
        </w:rPr>
        <w:t xml:space="preserve"> to defrauding revenue by seeking deductions which were obviously </w:t>
      </w:r>
      <w:r w:rsidR="004F6F81" w:rsidRPr="00623182">
        <w:rPr>
          <w:rFonts w:ascii="Times New Roman" w:hAnsi="Times New Roman" w:cs="Times New Roman"/>
          <w:sz w:val="24"/>
          <w:szCs w:val="24"/>
        </w:rPr>
        <w:t>not due.</w:t>
      </w:r>
    </w:p>
    <w:p w:rsidR="009A04EE" w:rsidRPr="00623182" w:rsidRDefault="005C3F97" w:rsidP="00530C7F">
      <w:pPr>
        <w:spacing w:after="0" w:line="360" w:lineRule="auto"/>
        <w:ind w:firstLine="720"/>
        <w:jc w:val="both"/>
        <w:rPr>
          <w:rFonts w:ascii="Times New Roman" w:hAnsi="Times New Roman" w:cs="Times New Roman"/>
          <w:sz w:val="24"/>
          <w:szCs w:val="24"/>
        </w:rPr>
      </w:pPr>
      <w:r w:rsidRPr="00623182">
        <w:rPr>
          <w:rFonts w:ascii="Times New Roman" w:hAnsi="Times New Roman" w:cs="Times New Roman"/>
          <w:sz w:val="24"/>
          <w:szCs w:val="24"/>
        </w:rPr>
        <w:t xml:space="preserve">In these circumstances I would in the exercise of my own discretion impose the same penalty as did the Commissioner. According a penalty of 70% is most appropriate in this matter. </w:t>
      </w:r>
    </w:p>
    <w:p w:rsidR="005C3F97" w:rsidRPr="00623182" w:rsidRDefault="005C3F97" w:rsidP="00530C7F">
      <w:pPr>
        <w:spacing w:after="0" w:line="360" w:lineRule="auto"/>
        <w:jc w:val="both"/>
        <w:rPr>
          <w:rFonts w:ascii="Times New Roman" w:hAnsi="Times New Roman" w:cs="Times New Roman"/>
          <w:sz w:val="24"/>
          <w:szCs w:val="24"/>
          <w:u w:val="single"/>
        </w:rPr>
      </w:pPr>
      <w:r w:rsidRPr="00623182">
        <w:rPr>
          <w:rFonts w:ascii="Times New Roman" w:hAnsi="Times New Roman" w:cs="Times New Roman"/>
          <w:sz w:val="24"/>
          <w:szCs w:val="24"/>
          <w:u w:val="single"/>
        </w:rPr>
        <w:t>Costs</w:t>
      </w:r>
    </w:p>
    <w:p w:rsidR="005C3F97" w:rsidRPr="00623182" w:rsidRDefault="005C3F97" w:rsidP="00530C7F">
      <w:pPr>
        <w:autoSpaceDE w:val="0"/>
        <w:autoSpaceDN w:val="0"/>
        <w:adjustRightInd w:val="0"/>
        <w:spacing w:after="0" w:line="360" w:lineRule="auto"/>
        <w:ind w:firstLine="720"/>
        <w:jc w:val="both"/>
        <w:rPr>
          <w:rFonts w:ascii="Times New Roman" w:hAnsi="Times New Roman" w:cs="Times New Roman"/>
          <w:sz w:val="24"/>
          <w:szCs w:val="24"/>
        </w:rPr>
      </w:pPr>
      <w:r w:rsidRPr="00623182">
        <w:rPr>
          <w:rFonts w:ascii="Times New Roman" w:hAnsi="Times New Roman" w:cs="Times New Roman"/>
          <w:sz w:val="24"/>
          <w:szCs w:val="24"/>
        </w:rPr>
        <w:t>In line with the provisions of s 65 (12) of the Act I do</w:t>
      </w:r>
      <w:r w:rsidR="00164B80" w:rsidRPr="00623182">
        <w:rPr>
          <w:rFonts w:ascii="Times New Roman" w:hAnsi="Times New Roman" w:cs="Times New Roman"/>
          <w:sz w:val="24"/>
          <w:szCs w:val="24"/>
        </w:rPr>
        <w:t xml:space="preserve"> not find the claim</w:t>
      </w:r>
      <w:r w:rsidR="002D3B80">
        <w:rPr>
          <w:rFonts w:ascii="Times New Roman" w:hAnsi="Times New Roman" w:cs="Times New Roman"/>
          <w:sz w:val="24"/>
          <w:szCs w:val="24"/>
        </w:rPr>
        <w:t xml:space="preserve"> of the Commissioner to have be</w:t>
      </w:r>
      <w:r w:rsidR="00164B80" w:rsidRPr="00623182">
        <w:rPr>
          <w:rFonts w:ascii="Times New Roman" w:hAnsi="Times New Roman" w:cs="Times New Roman"/>
          <w:sz w:val="24"/>
          <w:szCs w:val="24"/>
        </w:rPr>
        <w:t>e</w:t>
      </w:r>
      <w:r w:rsidR="002D3B80">
        <w:rPr>
          <w:rFonts w:ascii="Times New Roman" w:hAnsi="Times New Roman" w:cs="Times New Roman"/>
          <w:sz w:val="24"/>
          <w:szCs w:val="24"/>
        </w:rPr>
        <w:t>n</w:t>
      </w:r>
      <w:r w:rsidR="00164B80" w:rsidRPr="00623182">
        <w:rPr>
          <w:rFonts w:ascii="Times New Roman" w:hAnsi="Times New Roman" w:cs="Times New Roman"/>
          <w:sz w:val="24"/>
          <w:szCs w:val="24"/>
        </w:rPr>
        <w:t xml:space="preserve"> unreasonable or the appellant’s grounds of appeal to have been frivolous. In addition the request made by the appellant to invoke the provisions of ss 15 (2) (aa) </w:t>
      </w:r>
      <w:r w:rsidR="00CD1730">
        <w:rPr>
          <w:rFonts w:ascii="Times New Roman" w:hAnsi="Times New Roman" w:cs="Times New Roman"/>
          <w:sz w:val="24"/>
          <w:szCs w:val="24"/>
        </w:rPr>
        <w:t xml:space="preserve">of the Act </w:t>
      </w:r>
      <w:r w:rsidR="00164B80" w:rsidRPr="00623182">
        <w:rPr>
          <w:rFonts w:ascii="Times New Roman" w:hAnsi="Times New Roman" w:cs="Times New Roman"/>
          <w:sz w:val="24"/>
          <w:szCs w:val="24"/>
        </w:rPr>
        <w:t xml:space="preserve">cannot succeed.  Accordingly, each party shall bear its own costs. </w:t>
      </w:r>
    </w:p>
    <w:p w:rsidR="003213D1" w:rsidRPr="00623182" w:rsidRDefault="003213D1" w:rsidP="00623182">
      <w:pPr>
        <w:autoSpaceDE w:val="0"/>
        <w:autoSpaceDN w:val="0"/>
        <w:adjustRightInd w:val="0"/>
        <w:spacing w:after="0" w:line="360" w:lineRule="auto"/>
        <w:jc w:val="both"/>
        <w:rPr>
          <w:rFonts w:ascii="Times New Roman" w:hAnsi="Times New Roman" w:cs="Times New Roman"/>
          <w:sz w:val="24"/>
          <w:szCs w:val="24"/>
          <w:u w:val="single"/>
        </w:rPr>
      </w:pPr>
      <w:r w:rsidRPr="00623182">
        <w:rPr>
          <w:rFonts w:ascii="Times New Roman" w:hAnsi="Times New Roman" w:cs="Times New Roman"/>
          <w:sz w:val="24"/>
          <w:szCs w:val="24"/>
          <w:u w:val="single"/>
        </w:rPr>
        <w:t>Disposition</w:t>
      </w:r>
    </w:p>
    <w:p w:rsidR="003213D1" w:rsidRPr="00623182" w:rsidRDefault="00530C7F" w:rsidP="00530C7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213D1" w:rsidRPr="00623182">
        <w:rPr>
          <w:rFonts w:ascii="Times New Roman" w:hAnsi="Times New Roman" w:cs="Times New Roman"/>
          <w:sz w:val="24"/>
          <w:szCs w:val="24"/>
        </w:rPr>
        <w:t>Accordingly, it is ordered that:</w:t>
      </w:r>
    </w:p>
    <w:p w:rsidR="003213D1" w:rsidRPr="00623182" w:rsidRDefault="003213D1" w:rsidP="00623182">
      <w:pPr>
        <w:pStyle w:val="ListParagraph"/>
        <w:numPr>
          <w:ilvl w:val="0"/>
          <w:numId w:val="7"/>
        </w:numPr>
        <w:spacing w:line="360" w:lineRule="auto"/>
        <w:jc w:val="both"/>
        <w:rPr>
          <w:rFonts w:ascii="Times New Roman" w:hAnsi="Times New Roman" w:cs="Times New Roman"/>
          <w:sz w:val="24"/>
          <w:szCs w:val="24"/>
        </w:rPr>
      </w:pPr>
      <w:r w:rsidRPr="00623182">
        <w:rPr>
          <w:rFonts w:ascii="Times New Roman" w:hAnsi="Times New Roman" w:cs="Times New Roman"/>
          <w:sz w:val="24"/>
          <w:szCs w:val="24"/>
        </w:rPr>
        <w:t>The appeal be and is hereby dismissed in its entirety.</w:t>
      </w:r>
    </w:p>
    <w:p w:rsidR="003213D1" w:rsidRPr="00623182" w:rsidRDefault="003213D1" w:rsidP="00623182">
      <w:pPr>
        <w:pStyle w:val="ListParagraph"/>
        <w:numPr>
          <w:ilvl w:val="0"/>
          <w:numId w:val="7"/>
        </w:numPr>
        <w:spacing w:line="360" w:lineRule="auto"/>
        <w:jc w:val="both"/>
        <w:rPr>
          <w:rFonts w:ascii="Times New Roman" w:hAnsi="Times New Roman" w:cs="Times New Roman"/>
          <w:sz w:val="24"/>
          <w:szCs w:val="24"/>
        </w:rPr>
      </w:pPr>
      <w:r w:rsidRPr="00623182">
        <w:rPr>
          <w:rFonts w:ascii="Times New Roman" w:hAnsi="Times New Roman" w:cs="Times New Roman"/>
          <w:sz w:val="24"/>
          <w:szCs w:val="24"/>
        </w:rPr>
        <w:lastRenderedPageBreak/>
        <w:t xml:space="preserve">The four amended income tax assessments number 2/001320 for the 2009 tax year,  2/001321 for the 2010 tax year, 2/001322 for the 2011 tax year and 2/001323 for the 2012 tax year issued by the Commissioner on 23 October 2014 are hereby confirmed.  </w:t>
      </w:r>
    </w:p>
    <w:p w:rsidR="003213D1" w:rsidRPr="00623182" w:rsidRDefault="003213D1" w:rsidP="00623182">
      <w:pPr>
        <w:pStyle w:val="ListParagraph"/>
        <w:numPr>
          <w:ilvl w:val="0"/>
          <w:numId w:val="7"/>
        </w:numPr>
        <w:spacing w:line="360" w:lineRule="auto"/>
        <w:jc w:val="both"/>
        <w:rPr>
          <w:rFonts w:ascii="Times New Roman" w:hAnsi="Times New Roman" w:cs="Times New Roman"/>
          <w:sz w:val="24"/>
          <w:szCs w:val="24"/>
        </w:rPr>
      </w:pPr>
      <w:r w:rsidRPr="00623182">
        <w:rPr>
          <w:rFonts w:ascii="Times New Roman" w:hAnsi="Times New Roman" w:cs="Times New Roman"/>
          <w:sz w:val="24"/>
          <w:szCs w:val="24"/>
        </w:rPr>
        <w:t xml:space="preserve">Each party shall bear its own costs. </w:t>
      </w:r>
    </w:p>
    <w:p w:rsidR="003213D1" w:rsidRDefault="003213D1" w:rsidP="00623182">
      <w:pPr>
        <w:autoSpaceDE w:val="0"/>
        <w:autoSpaceDN w:val="0"/>
        <w:adjustRightInd w:val="0"/>
        <w:spacing w:after="0" w:line="360" w:lineRule="auto"/>
        <w:jc w:val="both"/>
        <w:rPr>
          <w:rFonts w:ascii="Times New Roman" w:hAnsi="Times New Roman" w:cs="Times New Roman"/>
          <w:sz w:val="24"/>
          <w:szCs w:val="24"/>
        </w:rPr>
      </w:pPr>
    </w:p>
    <w:p w:rsidR="00530C7F" w:rsidRDefault="00530C7F" w:rsidP="00623182">
      <w:pPr>
        <w:autoSpaceDE w:val="0"/>
        <w:autoSpaceDN w:val="0"/>
        <w:adjustRightInd w:val="0"/>
        <w:spacing w:after="0" w:line="360" w:lineRule="auto"/>
        <w:jc w:val="both"/>
        <w:rPr>
          <w:rFonts w:ascii="Times New Roman" w:hAnsi="Times New Roman" w:cs="Times New Roman"/>
          <w:sz w:val="24"/>
          <w:szCs w:val="24"/>
        </w:rPr>
      </w:pPr>
    </w:p>
    <w:p w:rsidR="00530C7F" w:rsidRDefault="00530C7F" w:rsidP="00623182">
      <w:pPr>
        <w:autoSpaceDE w:val="0"/>
        <w:autoSpaceDN w:val="0"/>
        <w:adjustRightInd w:val="0"/>
        <w:spacing w:after="0" w:line="360" w:lineRule="auto"/>
        <w:jc w:val="both"/>
        <w:rPr>
          <w:rFonts w:ascii="Times New Roman" w:hAnsi="Times New Roman" w:cs="Times New Roman"/>
          <w:sz w:val="24"/>
          <w:szCs w:val="24"/>
        </w:rPr>
      </w:pPr>
    </w:p>
    <w:p w:rsidR="00530C7F" w:rsidRDefault="00530C7F" w:rsidP="00623182">
      <w:pPr>
        <w:autoSpaceDE w:val="0"/>
        <w:autoSpaceDN w:val="0"/>
        <w:adjustRightInd w:val="0"/>
        <w:spacing w:after="0" w:line="360" w:lineRule="auto"/>
        <w:jc w:val="both"/>
        <w:rPr>
          <w:rFonts w:ascii="Times New Roman" w:hAnsi="Times New Roman" w:cs="Times New Roman"/>
          <w:sz w:val="24"/>
          <w:szCs w:val="24"/>
        </w:rPr>
      </w:pPr>
    </w:p>
    <w:p w:rsidR="00530C7F" w:rsidRDefault="00530C7F" w:rsidP="00623182">
      <w:pPr>
        <w:autoSpaceDE w:val="0"/>
        <w:autoSpaceDN w:val="0"/>
        <w:adjustRightInd w:val="0"/>
        <w:spacing w:after="0" w:line="360" w:lineRule="auto"/>
        <w:jc w:val="both"/>
        <w:rPr>
          <w:rFonts w:ascii="Times New Roman" w:hAnsi="Times New Roman" w:cs="Times New Roman"/>
          <w:sz w:val="24"/>
          <w:szCs w:val="24"/>
        </w:rPr>
      </w:pPr>
    </w:p>
    <w:p w:rsidR="00530C7F" w:rsidRPr="00623182" w:rsidRDefault="00530C7F" w:rsidP="00623182">
      <w:pPr>
        <w:autoSpaceDE w:val="0"/>
        <w:autoSpaceDN w:val="0"/>
        <w:adjustRightInd w:val="0"/>
        <w:spacing w:after="0" w:line="360" w:lineRule="auto"/>
        <w:jc w:val="both"/>
        <w:rPr>
          <w:rFonts w:ascii="Times New Roman" w:hAnsi="Times New Roman" w:cs="Times New Roman"/>
          <w:sz w:val="24"/>
          <w:szCs w:val="24"/>
        </w:rPr>
      </w:pPr>
    </w:p>
    <w:p w:rsidR="003213D1" w:rsidRPr="00623182" w:rsidRDefault="003213D1" w:rsidP="00623182">
      <w:pPr>
        <w:autoSpaceDE w:val="0"/>
        <w:autoSpaceDN w:val="0"/>
        <w:adjustRightInd w:val="0"/>
        <w:spacing w:after="0" w:line="360" w:lineRule="auto"/>
        <w:jc w:val="both"/>
        <w:rPr>
          <w:rFonts w:ascii="Times New Roman" w:hAnsi="Times New Roman" w:cs="Times New Roman"/>
          <w:sz w:val="24"/>
          <w:szCs w:val="24"/>
        </w:rPr>
      </w:pPr>
      <w:r w:rsidRPr="00623182">
        <w:rPr>
          <w:rFonts w:ascii="Times New Roman" w:hAnsi="Times New Roman" w:cs="Times New Roman"/>
          <w:i/>
          <w:sz w:val="24"/>
          <w:szCs w:val="24"/>
        </w:rPr>
        <w:t>Gill Godlonton and Gerrans</w:t>
      </w:r>
      <w:r w:rsidRPr="00623182">
        <w:rPr>
          <w:rFonts w:ascii="Times New Roman" w:hAnsi="Times New Roman" w:cs="Times New Roman"/>
          <w:sz w:val="24"/>
          <w:szCs w:val="24"/>
        </w:rPr>
        <w:t>, the appellant’s legal practitioners</w:t>
      </w:r>
    </w:p>
    <w:p w:rsidR="008A4C64" w:rsidRPr="00623182" w:rsidRDefault="008A4C64" w:rsidP="00623182">
      <w:pPr>
        <w:spacing w:line="360" w:lineRule="auto"/>
        <w:jc w:val="both"/>
        <w:rPr>
          <w:rFonts w:ascii="Times New Roman" w:hAnsi="Times New Roman" w:cs="Times New Roman"/>
          <w:sz w:val="24"/>
          <w:szCs w:val="24"/>
        </w:rPr>
      </w:pPr>
    </w:p>
    <w:p w:rsidR="00BD3701" w:rsidRPr="00623182" w:rsidRDefault="00BD3701" w:rsidP="00623182">
      <w:pPr>
        <w:spacing w:line="360" w:lineRule="auto"/>
        <w:jc w:val="both"/>
        <w:rPr>
          <w:rFonts w:ascii="Times New Roman" w:hAnsi="Times New Roman" w:cs="Times New Roman"/>
          <w:sz w:val="24"/>
          <w:szCs w:val="24"/>
          <w:u w:val="single"/>
        </w:rPr>
      </w:pPr>
    </w:p>
    <w:p w:rsidR="00BD3701" w:rsidRPr="00623182" w:rsidRDefault="00BD3701" w:rsidP="00623182">
      <w:pPr>
        <w:spacing w:line="360" w:lineRule="auto"/>
        <w:jc w:val="both"/>
        <w:rPr>
          <w:rFonts w:ascii="Times New Roman" w:hAnsi="Times New Roman" w:cs="Times New Roman"/>
          <w:sz w:val="24"/>
          <w:szCs w:val="24"/>
          <w:u w:val="single"/>
        </w:rPr>
      </w:pPr>
    </w:p>
    <w:p w:rsidR="00BD3701" w:rsidRPr="00623182" w:rsidRDefault="00BD3701" w:rsidP="00623182">
      <w:pPr>
        <w:spacing w:line="360" w:lineRule="auto"/>
        <w:jc w:val="both"/>
        <w:rPr>
          <w:rFonts w:ascii="Times New Roman" w:hAnsi="Times New Roman" w:cs="Times New Roman"/>
          <w:sz w:val="24"/>
          <w:szCs w:val="24"/>
          <w:u w:val="single"/>
        </w:rPr>
      </w:pPr>
    </w:p>
    <w:p w:rsidR="00BD3701" w:rsidRPr="00623182" w:rsidRDefault="00BD3701" w:rsidP="00623182">
      <w:pPr>
        <w:spacing w:line="360" w:lineRule="auto"/>
        <w:jc w:val="both"/>
        <w:rPr>
          <w:rFonts w:ascii="Times New Roman" w:hAnsi="Times New Roman" w:cs="Times New Roman"/>
          <w:sz w:val="24"/>
          <w:szCs w:val="24"/>
          <w:u w:val="single"/>
        </w:rPr>
      </w:pPr>
    </w:p>
    <w:p w:rsidR="00BD3701" w:rsidRPr="00623182" w:rsidRDefault="00BD3701" w:rsidP="00623182">
      <w:pPr>
        <w:spacing w:line="360" w:lineRule="auto"/>
        <w:jc w:val="both"/>
        <w:rPr>
          <w:rFonts w:ascii="Times New Roman" w:hAnsi="Times New Roman" w:cs="Times New Roman"/>
          <w:sz w:val="24"/>
          <w:szCs w:val="24"/>
          <w:u w:val="single"/>
        </w:rPr>
      </w:pPr>
    </w:p>
    <w:p w:rsidR="00065740" w:rsidRPr="00623182" w:rsidRDefault="00065740" w:rsidP="00623182">
      <w:pPr>
        <w:spacing w:line="360" w:lineRule="auto"/>
        <w:jc w:val="both"/>
        <w:rPr>
          <w:rFonts w:ascii="Times New Roman" w:hAnsi="Times New Roman" w:cs="Times New Roman"/>
          <w:sz w:val="24"/>
          <w:szCs w:val="24"/>
        </w:rPr>
      </w:pPr>
      <w:r w:rsidRPr="00623182">
        <w:rPr>
          <w:rFonts w:ascii="Times New Roman" w:hAnsi="Times New Roman" w:cs="Times New Roman"/>
          <w:sz w:val="24"/>
          <w:szCs w:val="24"/>
        </w:rPr>
        <w:t xml:space="preserve"> </w:t>
      </w:r>
    </w:p>
    <w:p w:rsidR="00065740" w:rsidRPr="00623182" w:rsidRDefault="00065740" w:rsidP="00623182">
      <w:pPr>
        <w:spacing w:before="240" w:after="360" w:line="360" w:lineRule="auto"/>
        <w:ind w:left="170" w:right="284"/>
        <w:jc w:val="both"/>
        <w:rPr>
          <w:rFonts w:ascii="Times New Roman" w:hAnsi="Times New Roman" w:cs="Times New Roman"/>
          <w:sz w:val="24"/>
          <w:szCs w:val="24"/>
        </w:rPr>
      </w:pPr>
      <w:r w:rsidRPr="00623182">
        <w:rPr>
          <w:rFonts w:ascii="Times New Roman" w:hAnsi="Times New Roman" w:cs="Times New Roman"/>
          <w:sz w:val="24"/>
          <w:szCs w:val="24"/>
        </w:rPr>
        <w:t xml:space="preserve">.  </w:t>
      </w:r>
    </w:p>
    <w:p w:rsidR="00065740" w:rsidRPr="00623182" w:rsidRDefault="00065740" w:rsidP="00623182">
      <w:pPr>
        <w:spacing w:before="240" w:after="360" w:line="360" w:lineRule="auto"/>
        <w:ind w:left="170" w:right="284"/>
        <w:jc w:val="both"/>
        <w:rPr>
          <w:rFonts w:ascii="Times New Roman" w:hAnsi="Times New Roman" w:cs="Times New Roman"/>
          <w:sz w:val="24"/>
          <w:szCs w:val="24"/>
        </w:rPr>
      </w:pPr>
      <w:r w:rsidRPr="00623182">
        <w:rPr>
          <w:rFonts w:ascii="Times New Roman" w:hAnsi="Times New Roman" w:cs="Times New Roman"/>
          <w:sz w:val="24"/>
          <w:szCs w:val="24"/>
        </w:rPr>
        <w:tab/>
      </w:r>
    </w:p>
    <w:p w:rsidR="00065740" w:rsidRPr="00623182" w:rsidRDefault="0007365B" w:rsidP="00623182">
      <w:pPr>
        <w:spacing w:before="240" w:after="360" w:line="360" w:lineRule="auto"/>
        <w:ind w:left="170" w:right="284" w:firstLine="550"/>
        <w:jc w:val="both"/>
        <w:rPr>
          <w:rFonts w:ascii="Times New Roman" w:hAnsi="Times New Roman" w:cs="Times New Roman"/>
          <w:sz w:val="24"/>
          <w:szCs w:val="24"/>
        </w:rPr>
      </w:pPr>
      <w:r w:rsidRPr="00623182">
        <w:rPr>
          <w:rFonts w:ascii="Times New Roman" w:hAnsi="Times New Roman" w:cs="Times New Roman"/>
          <w:sz w:val="24"/>
          <w:szCs w:val="24"/>
        </w:rPr>
        <w:t xml:space="preserve">. </w:t>
      </w:r>
    </w:p>
    <w:p w:rsidR="00065740" w:rsidRPr="00623182" w:rsidRDefault="00065740" w:rsidP="00623182">
      <w:pPr>
        <w:spacing w:after="240" w:line="360" w:lineRule="auto"/>
        <w:ind w:firstLine="720"/>
        <w:jc w:val="both"/>
        <w:rPr>
          <w:rFonts w:ascii="Times New Roman" w:hAnsi="Times New Roman" w:cs="Times New Roman"/>
          <w:sz w:val="24"/>
          <w:szCs w:val="24"/>
        </w:rPr>
      </w:pPr>
    </w:p>
    <w:p w:rsidR="00065740" w:rsidRPr="00623182" w:rsidRDefault="00065740" w:rsidP="00623182">
      <w:pPr>
        <w:spacing w:after="240" w:line="360" w:lineRule="auto"/>
        <w:ind w:firstLine="720"/>
        <w:jc w:val="both"/>
        <w:rPr>
          <w:rFonts w:ascii="Times New Roman" w:hAnsi="Times New Roman" w:cs="Times New Roman"/>
          <w:sz w:val="24"/>
          <w:szCs w:val="24"/>
        </w:rPr>
      </w:pPr>
    </w:p>
    <w:sectPr w:rsidR="00065740" w:rsidRPr="0062318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B8F" w:rsidRDefault="004C2B8F" w:rsidP="002C78CF">
      <w:pPr>
        <w:spacing w:after="0" w:line="240" w:lineRule="auto"/>
      </w:pPr>
      <w:r>
        <w:separator/>
      </w:r>
    </w:p>
  </w:endnote>
  <w:endnote w:type="continuationSeparator" w:id="0">
    <w:p w:rsidR="004C2B8F" w:rsidRDefault="004C2B8F" w:rsidP="002C7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B8F" w:rsidRDefault="004C2B8F" w:rsidP="002C78CF">
      <w:pPr>
        <w:spacing w:after="0" w:line="240" w:lineRule="auto"/>
      </w:pPr>
      <w:r>
        <w:separator/>
      </w:r>
    </w:p>
  </w:footnote>
  <w:footnote w:type="continuationSeparator" w:id="0">
    <w:p w:rsidR="004C2B8F" w:rsidRDefault="004C2B8F" w:rsidP="002C78CF">
      <w:pPr>
        <w:spacing w:after="0" w:line="240" w:lineRule="auto"/>
      </w:pPr>
      <w:r>
        <w:continuationSeparator/>
      </w:r>
    </w:p>
  </w:footnote>
  <w:footnote w:id="1">
    <w:p w:rsidR="00647AFB" w:rsidRDefault="00647AFB">
      <w:pPr>
        <w:pStyle w:val="FootnoteText"/>
      </w:pPr>
      <w:r>
        <w:rPr>
          <w:rStyle w:val="FootnoteReference"/>
        </w:rPr>
        <w:footnoteRef/>
      </w:r>
      <w:r>
        <w:t xml:space="preserve"> Last para of notice of appeal dated 15 August 2016 as corrected by para 1 the order by consent of 3 October 2017, in which additionally the notice of appeal by letter of 15 August 2016 and its sequel of 2 September 2016 were declared valid while the filing of the Commissioner’s case out of time was condoned. </w:t>
      </w:r>
    </w:p>
  </w:footnote>
  <w:footnote w:id="2">
    <w:p w:rsidR="00BA6B20" w:rsidRDefault="00BA6B20">
      <w:pPr>
        <w:pStyle w:val="FootnoteText"/>
      </w:pPr>
      <w:r>
        <w:rPr>
          <w:rStyle w:val="FootnoteReference"/>
        </w:rPr>
        <w:footnoteRef/>
      </w:r>
      <w:r>
        <w:t xml:space="preserve"> P </w:t>
      </w:r>
      <w:r w:rsidR="008779A4">
        <w:t xml:space="preserve">6 letter of from Commissioner to appellant dated 22 April 2015 of r 11 documents and p </w:t>
      </w:r>
      <w:r>
        <w:t>38 of the Commissioner’s case</w:t>
      </w:r>
    </w:p>
  </w:footnote>
  <w:footnote w:id="3">
    <w:p w:rsidR="00647AFB" w:rsidRPr="00252B20" w:rsidRDefault="00647AFB">
      <w:pPr>
        <w:pStyle w:val="FootnoteText"/>
      </w:pPr>
      <w:r>
        <w:rPr>
          <w:rStyle w:val="FootnoteReference"/>
        </w:rPr>
        <w:footnoteRef/>
      </w:r>
      <w:r>
        <w:t xml:space="preserve"> </w:t>
      </w:r>
      <w:r>
        <w:rPr>
          <w:i/>
        </w:rPr>
        <w:t xml:space="preserve">DD Transport (Pvt) Ltd </w:t>
      </w:r>
      <w:r w:rsidRPr="00252B20">
        <w:t>at 97G</w:t>
      </w:r>
    </w:p>
  </w:footnote>
  <w:footnote w:id="4">
    <w:p w:rsidR="00647AFB" w:rsidRDefault="00647AFB">
      <w:pPr>
        <w:pStyle w:val="FootnoteText"/>
      </w:pPr>
      <w:r>
        <w:rPr>
          <w:rStyle w:val="FootnoteReference"/>
        </w:rPr>
        <w:footnoteRef/>
      </w:r>
      <w:r>
        <w:t xml:space="preserve"> Clause 3 of that agreement </w:t>
      </w:r>
    </w:p>
  </w:footnote>
  <w:footnote w:id="5">
    <w:p w:rsidR="00647AFB" w:rsidRDefault="00647AFB">
      <w:pPr>
        <w:pStyle w:val="FootnoteText"/>
      </w:pPr>
      <w:r>
        <w:rPr>
          <w:rStyle w:val="FootnoteReference"/>
        </w:rPr>
        <w:footnoteRef/>
      </w:r>
      <w:r>
        <w:t xml:space="preserve"> P43 of r 11 documents responding to letters of 26 September 2013 and 7 October 2013 on pp 44 r 11 documents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822714"/>
      <w:docPartObj>
        <w:docPartGallery w:val="Page Numbers (Top of Page)"/>
        <w:docPartUnique/>
      </w:docPartObj>
    </w:sdtPr>
    <w:sdtEndPr>
      <w:rPr>
        <w:noProof/>
      </w:rPr>
    </w:sdtEndPr>
    <w:sdtContent>
      <w:p w:rsidR="00623182" w:rsidRDefault="00623182">
        <w:pPr>
          <w:pStyle w:val="Header"/>
          <w:jc w:val="right"/>
          <w:rPr>
            <w:noProof/>
          </w:rPr>
        </w:pPr>
        <w:r>
          <w:fldChar w:fldCharType="begin"/>
        </w:r>
        <w:r>
          <w:instrText xml:space="preserve"> PAGE   \* MERGEFORMAT </w:instrText>
        </w:r>
        <w:r>
          <w:fldChar w:fldCharType="separate"/>
        </w:r>
        <w:r w:rsidR="00A25719">
          <w:rPr>
            <w:noProof/>
          </w:rPr>
          <w:t>1</w:t>
        </w:r>
        <w:r>
          <w:rPr>
            <w:noProof/>
          </w:rPr>
          <w:fldChar w:fldCharType="end"/>
        </w:r>
      </w:p>
      <w:p w:rsidR="00623182" w:rsidRDefault="00623182">
        <w:pPr>
          <w:pStyle w:val="Header"/>
          <w:jc w:val="right"/>
          <w:rPr>
            <w:noProof/>
          </w:rPr>
        </w:pPr>
        <w:r>
          <w:rPr>
            <w:noProof/>
          </w:rPr>
          <w:t>HH</w:t>
        </w:r>
        <w:r w:rsidR="005A74CE">
          <w:rPr>
            <w:noProof/>
          </w:rPr>
          <w:t xml:space="preserve"> 722-19</w:t>
        </w:r>
      </w:p>
      <w:p w:rsidR="00623182" w:rsidRDefault="00623182">
        <w:pPr>
          <w:pStyle w:val="Header"/>
          <w:jc w:val="right"/>
        </w:pPr>
        <w:r>
          <w:rPr>
            <w:noProof/>
          </w:rPr>
          <w:t>FA 22/16</w:t>
        </w:r>
      </w:p>
    </w:sdtContent>
  </w:sdt>
  <w:p w:rsidR="00647AFB" w:rsidRDefault="00647A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B436C"/>
    <w:multiLevelType w:val="hybridMultilevel"/>
    <w:tmpl w:val="F3245CFC"/>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471B2B0D"/>
    <w:multiLevelType w:val="hybridMultilevel"/>
    <w:tmpl w:val="E0DAB24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544D48D2"/>
    <w:multiLevelType w:val="hybridMultilevel"/>
    <w:tmpl w:val="C5DAE6B4"/>
    <w:lvl w:ilvl="0" w:tplc="71F2CA62">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545E50D0"/>
    <w:multiLevelType w:val="hybridMultilevel"/>
    <w:tmpl w:val="91F636D8"/>
    <w:lvl w:ilvl="0" w:tplc="47D04752">
      <w:start w:val="1"/>
      <w:numFmt w:val="decimal"/>
      <w:lvlText w:val="%1."/>
      <w:lvlJc w:val="left"/>
      <w:pPr>
        <w:ind w:left="1080" w:hanging="360"/>
      </w:pPr>
      <w:rPr>
        <w:rFonts w:cs="Times New Roman" w:hint="default"/>
        <w:sz w:val="21"/>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6210440F"/>
    <w:multiLevelType w:val="hybridMultilevel"/>
    <w:tmpl w:val="19402DEE"/>
    <w:lvl w:ilvl="0" w:tplc="40069E5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6240096B"/>
    <w:multiLevelType w:val="hybridMultilevel"/>
    <w:tmpl w:val="BD38864E"/>
    <w:lvl w:ilvl="0" w:tplc="30090019">
      <w:start w:val="1"/>
      <w:numFmt w:val="lowerLetter"/>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6AE23097"/>
    <w:multiLevelType w:val="hybridMultilevel"/>
    <w:tmpl w:val="BA44543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F5"/>
    <w:rsid w:val="00001040"/>
    <w:rsid w:val="0000332D"/>
    <w:rsid w:val="00007207"/>
    <w:rsid w:val="000115EE"/>
    <w:rsid w:val="00013076"/>
    <w:rsid w:val="00014642"/>
    <w:rsid w:val="000242E9"/>
    <w:rsid w:val="00025096"/>
    <w:rsid w:val="0002638B"/>
    <w:rsid w:val="00026ECE"/>
    <w:rsid w:val="00042B9F"/>
    <w:rsid w:val="00044466"/>
    <w:rsid w:val="00044B6E"/>
    <w:rsid w:val="00044C27"/>
    <w:rsid w:val="00050787"/>
    <w:rsid w:val="000576F7"/>
    <w:rsid w:val="00057A49"/>
    <w:rsid w:val="000602C0"/>
    <w:rsid w:val="00060E9E"/>
    <w:rsid w:val="00063F17"/>
    <w:rsid w:val="00065740"/>
    <w:rsid w:val="00065D22"/>
    <w:rsid w:val="00066450"/>
    <w:rsid w:val="000701B4"/>
    <w:rsid w:val="00070E2D"/>
    <w:rsid w:val="000715C1"/>
    <w:rsid w:val="0007365B"/>
    <w:rsid w:val="000757FE"/>
    <w:rsid w:val="00076043"/>
    <w:rsid w:val="00081268"/>
    <w:rsid w:val="00081AC7"/>
    <w:rsid w:val="000858A0"/>
    <w:rsid w:val="000862F2"/>
    <w:rsid w:val="00090B46"/>
    <w:rsid w:val="00092906"/>
    <w:rsid w:val="00094920"/>
    <w:rsid w:val="000A0459"/>
    <w:rsid w:val="000A180B"/>
    <w:rsid w:val="000A2C29"/>
    <w:rsid w:val="000A2DDE"/>
    <w:rsid w:val="000A4DB4"/>
    <w:rsid w:val="000C1698"/>
    <w:rsid w:val="000C2AA5"/>
    <w:rsid w:val="000C604F"/>
    <w:rsid w:val="000D1B53"/>
    <w:rsid w:val="000D51F0"/>
    <w:rsid w:val="000E01B9"/>
    <w:rsid w:val="000E2111"/>
    <w:rsid w:val="000E3F3F"/>
    <w:rsid w:val="000E4636"/>
    <w:rsid w:val="000E6391"/>
    <w:rsid w:val="000F5985"/>
    <w:rsid w:val="000F5FAE"/>
    <w:rsid w:val="00101E02"/>
    <w:rsid w:val="0010201A"/>
    <w:rsid w:val="0010335B"/>
    <w:rsid w:val="00104369"/>
    <w:rsid w:val="00106014"/>
    <w:rsid w:val="0010708E"/>
    <w:rsid w:val="001074E9"/>
    <w:rsid w:val="0011001F"/>
    <w:rsid w:val="00111268"/>
    <w:rsid w:val="00111B71"/>
    <w:rsid w:val="00113A7D"/>
    <w:rsid w:val="00116C4E"/>
    <w:rsid w:val="001211F2"/>
    <w:rsid w:val="001238CD"/>
    <w:rsid w:val="0012485B"/>
    <w:rsid w:val="00126947"/>
    <w:rsid w:val="0013243C"/>
    <w:rsid w:val="00133F0B"/>
    <w:rsid w:val="00140171"/>
    <w:rsid w:val="00144D6D"/>
    <w:rsid w:val="00147076"/>
    <w:rsid w:val="0014738C"/>
    <w:rsid w:val="00152120"/>
    <w:rsid w:val="001545BE"/>
    <w:rsid w:val="001559E4"/>
    <w:rsid w:val="001567B8"/>
    <w:rsid w:val="00162BC0"/>
    <w:rsid w:val="00164B80"/>
    <w:rsid w:val="00165659"/>
    <w:rsid w:val="00166610"/>
    <w:rsid w:val="001706C2"/>
    <w:rsid w:val="00176A10"/>
    <w:rsid w:val="0017742E"/>
    <w:rsid w:val="00183F00"/>
    <w:rsid w:val="0018446E"/>
    <w:rsid w:val="001872D7"/>
    <w:rsid w:val="001876BD"/>
    <w:rsid w:val="00190CC1"/>
    <w:rsid w:val="001928BC"/>
    <w:rsid w:val="00192C5A"/>
    <w:rsid w:val="0019553D"/>
    <w:rsid w:val="001A0325"/>
    <w:rsid w:val="001A083E"/>
    <w:rsid w:val="001A2AD0"/>
    <w:rsid w:val="001A2B74"/>
    <w:rsid w:val="001A3D88"/>
    <w:rsid w:val="001A475A"/>
    <w:rsid w:val="001A5C53"/>
    <w:rsid w:val="001B14FB"/>
    <w:rsid w:val="001B3885"/>
    <w:rsid w:val="001B4F4F"/>
    <w:rsid w:val="001C1A53"/>
    <w:rsid w:val="001C2579"/>
    <w:rsid w:val="001C4525"/>
    <w:rsid w:val="001C4784"/>
    <w:rsid w:val="001C7C3A"/>
    <w:rsid w:val="001D041A"/>
    <w:rsid w:val="001D0E0D"/>
    <w:rsid w:val="001D14F4"/>
    <w:rsid w:val="001D5229"/>
    <w:rsid w:val="001D6B58"/>
    <w:rsid w:val="001D7AF1"/>
    <w:rsid w:val="001D7CA9"/>
    <w:rsid w:val="001E155D"/>
    <w:rsid w:val="001E3881"/>
    <w:rsid w:val="001F143F"/>
    <w:rsid w:val="001F1FAD"/>
    <w:rsid w:val="001F28BD"/>
    <w:rsid w:val="001F32A2"/>
    <w:rsid w:val="001F3625"/>
    <w:rsid w:val="001F4908"/>
    <w:rsid w:val="001F5F04"/>
    <w:rsid w:val="00200AB2"/>
    <w:rsid w:val="00200C43"/>
    <w:rsid w:val="002014D1"/>
    <w:rsid w:val="00203726"/>
    <w:rsid w:val="002046F0"/>
    <w:rsid w:val="0020480A"/>
    <w:rsid w:val="00205161"/>
    <w:rsid w:val="002107B3"/>
    <w:rsid w:val="0021088D"/>
    <w:rsid w:val="00212F67"/>
    <w:rsid w:val="0021375F"/>
    <w:rsid w:val="0021572E"/>
    <w:rsid w:val="00215B87"/>
    <w:rsid w:val="00222BF2"/>
    <w:rsid w:val="0022427B"/>
    <w:rsid w:val="002249ED"/>
    <w:rsid w:val="002313C3"/>
    <w:rsid w:val="00232FF4"/>
    <w:rsid w:val="002341F4"/>
    <w:rsid w:val="00235E52"/>
    <w:rsid w:val="00241536"/>
    <w:rsid w:val="002418BC"/>
    <w:rsid w:val="00243793"/>
    <w:rsid w:val="00244946"/>
    <w:rsid w:val="00247DE9"/>
    <w:rsid w:val="00251C23"/>
    <w:rsid w:val="00251D2F"/>
    <w:rsid w:val="00251D6F"/>
    <w:rsid w:val="002529DF"/>
    <w:rsid w:val="00252B20"/>
    <w:rsid w:val="0025317F"/>
    <w:rsid w:val="00255750"/>
    <w:rsid w:val="00263ECE"/>
    <w:rsid w:val="00265BE7"/>
    <w:rsid w:val="002736DF"/>
    <w:rsid w:val="002820DD"/>
    <w:rsid w:val="00290627"/>
    <w:rsid w:val="00290DB4"/>
    <w:rsid w:val="002932CF"/>
    <w:rsid w:val="00294F8D"/>
    <w:rsid w:val="00297393"/>
    <w:rsid w:val="002A0FE5"/>
    <w:rsid w:val="002A249F"/>
    <w:rsid w:val="002A6D1C"/>
    <w:rsid w:val="002A7719"/>
    <w:rsid w:val="002B0F61"/>
    <w:rsid w:val="002B119C"/>
    <w:rsid w:val="002B51D0"/>
    <w:rsid w:val="002B5466"/>
    <w:rsid w:val="002C1BCD"/>
    <w:rsid w:val="002C2B42"/>
    <w:rsid w:val="002C2C9B"/>
    <w:rsid w:val="002C3269"/>
    <w:rsid w:val="002C78CF"/>
    <w:rsid w:val="002C79B2"/>
    <w:rsid w:val="002D1E2A"/>
    <w:rsid w:val="002D3B80"/>
    <w:rsid w:val="002D425B"/>
    <w:rsid w:val="002D4ABA"/>
    <w:rsid w:val="002E07E2"/>
    <w:rsid w:val="002E2B8C"/>
    <w:rsid w:val="002E4012"/>
    <w:rsid w:val="002E4ABE"/>
    <w:rsid w:val="002E61C4"/>
    <w:rsid w:val="002E7230"/>
    <w:rsid w:val="002F41FD"/>
    <w:rsid w:val="002F553D"/>
    <w:rsid w:val="002F71DC"/>
    <w:rsid w:val="00300369"/>
    <w:rsid w:val="00300406"/>
    <w:rsid w:val="003035CB"/>
    <w:rsid w:val="00304850"/>
    <w:rsid w:val="003068B7"/>
    <w:rsid w:val="00311B50"/>
    <w:rsid w:val="0031219B"/>
    <w:rsid w:val="00312D68"/>
    <w:rsid w:val="003179E2"/>
    <w:rsid w:val="00317C9C"/>
    <w:rsid w:val="003213D1"/>
    <w:rsid w:val="00322D31"/>
    <w:rsid w:val="00326AB1"/>
    <w:rsid w:val="00327B64"/>
    <w:rsid w:val="00332BAE"/>
    <w:rsid w:val="00333D19"/>
    <w:rsid w:val="00336296"/>
    <w:rsid w:val="00336581"/>
    <w:rsid w:val="003400A9"/>
    <w:rsid w:val="0034406E"/>
    <w:rsid w:val="00345B94"/>
    <w:rsid w:val="00345D7E"/>
    <w:rsid w:val="00345F3C"/>
    <w:rsid w:val="003468DE"/>
    <w:rsid w:val="003517E6"/>
    <w:rsid w:val="00353B31"/>
    <w:rsid w:val="003547E8"/>
    <w:rsid w:val="00354F8D"/>
    <w:rsid w:val="003550CC"/>
    <w:rsid w:val="00355611"/>
    <w:rsid w:val="00361667"/>
    <w:rsid w:val="00361DF4"/>
    <w:rsid w:val="00362192"/>
    <w:rsid w:val="00363BE0"/>
    <w:rsid w:val="00365FAF"/>
    <w:rsid w:val="00366337"/>
    <w:rsid w:val="00367CC7"/>
    <w:rsid w:val="00367EAF"/>
    <w:rsid w:val="003711BA"/>
    <w:rsid w:val="003715FC"/>
    <w:rsid w:val="00373000"/>
    <w:rsid w:val="00373489"/>
    <w:rsid w:val="003737FF"/>
    <w:rsid w:val="00376EF0"/>
    <w:rsid w:val="003808CB"/>
    <w:rsid w:val="0038126F"/>
    <w:rsid w:val="00381AFC"/>
    <w:rsid w:val="003906E0"/>
    <w:rsid w:val="00391EDC"/>
    <w:rsid w:val="00395509"/>
    <w:rsid w:val="0039611B"/>
    <w:rsid w:val="00396EAD"/>
    <w:rsid w:val="003A0229"/>
    <w:rsid w:val="003A05CA"/>
    <w:rsid w:val="003A0F0E"/>
    <w:rsid w:val="003B13E1"/>
    <w:rsid w:val="003B693F"/>
    <w:rsid w:val="003B6A55"/>
    <w:rsid w:val="003C01E9"/>
    <w:rsid w:val="003C3EE8"/>
    <w:rsid w:val="003C7E2B"/>
    <w:rsid w:val="003D2EE8"/>
    <w:rsid w:val="003D4CC1"/>
    <w:rsid w:val="003D4EBF"/>
    <w:rsid w:val="003D57FB"/>
    <w:rsid w:val="003D5F0A"/>
    <w:rsid w:val="003E06FD"/>
    <w:rsid w:val="003E17F6"/>
    <w:rsid w:val="003E6F5E"/>
    <w:rsid w:val="003F0E8C"/>
    <w:rsid w:val="003F31C9"/>
    <w:rsid w:val="003F799E"/>
    <w:rsid w:val="004008E0"/>
    <w:rsid w:val="004023B1"/>
    <w:rsid w:val="00402810"/>
    <w:rsid w:val="004033A9"/>
    <w:rsid w:val="0040343B"/>
    <w:rsid w:val="004037B1"/>
    <w:rsid w:val="00404EC5"/>
    <w:rsid w:val="00405280"/>
    <w:rsid w:val="0040536B"/>
    <w:rsid w:val="0040616E"/>
    <w:rsid w:val="00407F14"/>
    <w:rsid w:val="00412422"/>
    <w:rsid w:val="00413C1F"/>
    <w:rsid w:val="004166C7"/>
    <w:rsid w:val="00420997"/>
    <w:rsid w:val="004311F0"/>
    <w:rsid w:val="00435A49"/>
    <w:rsid w:val="00436C2F"/>
    <w:rsid w:val="004378BC"/>
    <w:rsid w:val="00440038"/>
    <w:rsid w:val="00440BE5"/>
    <w:rsid w:val="00440D53"/>
    <w:rsid w:val="0044307F"/>
    <w:rsid w:val="004539CD"/>
    <w:rsid w:val="004549E2"/>
    <w:rsid w:val="004554BA"/>
    <w:rsid w:val="00456785"/>
    <w:rsid w:val="00462DC8"/>
    <w:rsid w:val="004630BE"/>
    <w:rsid w:val="00471C38"/>
    <w:rsid w:val="00472C0D"/>
    <w:rsid w:val="00476CEF"/>
    <w:rsid w:val="00477E41"/>
    <w:rsid w:val="00485BE5"/>
    <w:rsid w:val="00485E4B"/>
    <w:rsid w:val="004873E4"/>
    <w:rsid w:val="004876F2"/>
    <w:rsid w:val="0049066E"/>
    <w:rsid w:val="0049161E"/>
    <w:rsid w:val="00493B9D"/>
    <w:rsid w:val="00495447"/>
    <w:rsid w:val="00496084"/>
    <w:rsid w:val="004A0F4E"/>
    <w:rsid w:val="004A2014"/>
    <w:rsid w:val="004A719D"/>
    <w:rsid w:val="004B02B5"/>
    <w:rsid w:val="004B1562"/>
    <w:rsid w:val="004B27BA"/>
    <w:rsid w:val="004B6C20"/>
    <w:rsid w:val="004C02C2"/>
    <w:rsid w:val="004C0AAA"/>
    <w:rsid w:val="004C0B67"/>
    <w:rsid w:val="004C1090"/>
    <w:rsid w:val="004C2B8F"/>
    <w:rsid w:val="004C33DE"/>
    <w:rsid w:val="004D3B40"/>
    <w:rsid w:val="004D5C49"/>
    <w:rsid w:val="004D6A2F"/>
    <w:rsid w:val="004E1768"/>
    <w:rsid w:val="004E4DC9"/>
    <w:rsid w:val="004E6187"/>
    <w:rsid w:val="004E680A"/>
    <w:rsid w:val="004E6D44"/>
    <w:rsid w:val="004F6F81"/>
    <w:rsid w:val="004F7AC1"/>
    <w:rsid w:val="00504E5C"/>
    <w:rsid w:val="00505318"/>
    <w:rsid w:val="00505377"/>
    <w:rsid w:val="00514B6B"/>
    <w:rsid w:val="00515183"/>
    <w:rsid w:val="00515D20"/>
    <w:rsid w:val="0052604B"/>
    <w:rsid w:val="00527035"/>
    <w:rsid w:val="00530C7F"/>
    <w:rsid w:val="00531EF6"/>
    <w:rsid w:val="005369F0"/>
    <w:rsid w:val="00536CFD"/>
    <w:rsid w:val="00537D77"/>
    <w:rsid w:val="00543C30"/>
    <w:rsid w:val="00544AE3"/>
    <w:rsid w:val="005454A0"/>
    <w:rsid w:val="005468E6"/>
    <w:rsid w:val="005533E9"/>
    <w:rsid w:val="00553E12"/>
    <w:rsid w:val="00554CA4"/>
    <w:rsid w:val="00556788"/>
    <w:rsid w:val="005579E1"/>
    <w:rsid w:val="005602AF"/>
    <w:rsid w:val="005625ED"/>
    <w:rsid w:val="005630E2"/>
    <w:rsid w:val="005643FC"/>
    <w:rsid w:val="00564433"/>
    <w:rsid w:val="0056626C"/>
    <w:rsid w:val="00567E55"/>
    <w:rsid w:val="005711F5"/>
    <w:rsid w:val="00573257"/>
    <w:rsid w:val="00573A53"/>
    <w:rsid w:val="005747DA"/>
    <w:rsid w:val="005751C4"/>
    <w:rsid w:val="00576038"/>
    <w:rsid w:val="00577181"/>
    <w:rsid w:val="00581DFE"/>
    <w:rsid w:val="00587C8A"/>
    <w:rsid w:val="005905BA"/>
    <w:rsid w:val="00590CA0"/>
    <w:rsid w:val="00591C0F"/>
    <w:rsid w:val="0059238F"/>
    <w:rsid w:val="005A087D"/>
    <w:rsid w:val="005A2A8A"/>
    <w:rsid w:val="005A4771"/>
    <w:rsid w:val="005A513B"/>
    <w:rsid w:val="005A5406"/>
    <w:rsid w:val="005A74CE"/>
    <w:rsid w:val="005B1D83"/>
    <w:rsid w:val="005B3D90"/>
    <w:rsid w:val="005B4296"/>
    <w:rsid w:val="005B65D2"/>
    <w:rsid w:val="005B7E50"/>
    <w:rsid w:val="005C1BA8"/>
    <w:rsid w:val="005C21D1"/>
    <w:rsid w:val="005C3216"/>
    <w:rsid w:val="005C3F97"/>
    <w:rsid w:val="005D00EC"/>
    <w:rsid w:val="005D23D5"/>
    <w:rsid w:val="005D2862"/>
    <w:rsid w:val="005D4F1C"/>
    <w:rsid w:val="005D5323"/>
    <w:rsid w:val="005D6F97"/>
    <w:rsid w:val="005D72D3"/>
    <w:rsid w:val="005E2384"/>
    <w:rsid w:val="005E2F37"/>
    <w:rsid w:val="005E358B"/>
    <w:rsid w:val="005E74D2"/>
    <w:rsid w:val="005F4C5A"/>
    <w:rsid w:val="005F5540"/>
    <w:rsid w:val="005F5AB3"/>
    <w:rsid w:val="005F7646"/>
    <w:rsid w:val="00601993"/>
    <w:rsid w:val="00603CA8"/>
    <w:rsid w:val="006045E3"/>
    <w:rsid w:val="00604A50"/>
    <w:rsid w:val="00604FE6"/>
    <w:rsid w:val="006050BC"/>
    <w:rsid w:val="00605587"/>
    <w:rsid w:val="006059B9"/>
    <w:rsid w:val="00606503"/>
    <w:rsid w:val="006074E3"/>
    <w:rsid w:val="00612197"/>
    <w:rsid w:val="006127B4"/>
    <w:rsid w:val="006133C5"/>
    <w:rsid w:val="00613FEF"/>
    <w:rsid w:val="0061458D"/>
    <w:rsid w:val="00614C89"/>
    <w:rsid w:val="00617DDA"/>
    <w:rsid w:val="006205CA"/>
    <w:rsid w:val="006223DB"/>
    <w:rsid w:val="00623182"/>
    <w:rsid w:val="0063026B"/>
    <w:rsid w:val="00630F3D"/>
    <w:rsid w:val="006313B0"/>
    <w:rsid w:val="00644218"/>
    <w:rsid w:val="00645E6B"/>
    <w:rsid w:val="00647AFB"/>
    <w:rsid w:val="006531E8"/>
    <w:rsid w:val="0065384A"/>
    <w:rsid w:val="0065695B"/>
    <w:rsid w:val="00656E86"/>
    <w:rsid w:val="006638FD"/>
    <w:rsid w:val="006652EA"/>
    <w:rsid w:val="00666B0D"/>
    <w:rsid w:val="00666CAD"/>
    <w:rsid w:val="006705F5"/>
    <w:rsid w:val="00671B40"/>
    <w:rsid w:val="00676A67"/>
    <w:rsid w:val="00684582"/>
    <w:rsid w:val="00691DDF"/>
    <w:rsid w:val="006925E9"/>
    <w:rsid w:val="006930D3"/>
    <w:rsid w:val="00695047"/>
    <w:rsid w:val="0069601C"/>
    <w:rsid w:val="0069764B"/>
    <w:rsid w:val="006A2F4A"/>
    <w:rsid w:val="006A3953"/>
    <w:rsid w:val="006A3B82"/>
    <w:rsid w:val="006A490C"/>
    <w:rsid w:val="006B05DF"/>
    <w:rsid w:val="006B17A5"/>
    <w:rsid w:val="006B3E8F"/>
    <w:rsid w:val="006B6D85"/>
    <w:rsid w:val="006B737C"/>
    <w:rsid w:val="006B7617"/>
    <w:rsid w:val="006B775A"/>
    <w:rsid w:val="006C0606"/>
    <w:rsid w:val="006C10A8"/>
    <w:rsid w:val="006C1794"/>
    <w:rsid w:val="006C39D3"/>
    <w:rsid w:val="006C46F0"/>
    <w:rsid w:val="006D38BE"/>
    <w:rsid w:val="006D6304"/>
    <w:rsid w:val="006D7B3A"/>
    <w:rsid w:val="006E12A8"/>
    <w:rsid w:val="006E2396"/>
    <w:rsid w:val="006E61B1"/>
    <w:rsid w:val="006E669A"/>
    <w:rsid w:val="006E7301"/>
    <w:rsid w:val="006F074B"/>
    <w:rsid w:val="006F4949"/>
    <w:rsid w:val="006F5C88"/>
    <w:rsid w:val="006F62BF"/>
    <w:rsid w:val="006F6954"/>
    <w:rsid w:val="00700995"/>
    <w:rsid w:val="00701E4F"/>
    <w:rsid w:val="00702C04"/>
    <w:rsid w:val="00702C34"/>
    <w:rsid w:val="00707E44"/>
    <w:rsid w:val="00716BEA"/>
    <w:rsid w:val="00717B2E"/>
    <w:rsid w:val="00721814"/>
    <w:rsid w:val="007228AB"/>
    <w:rsid w:val="007234D8"/>
    <w:rsid w:val="007270DC"/>
    <w:rsid w:val="007271F0"/>
    <w:rsid w:val="007305FF"/>
    <w:rsid w:val="007365EE"/>
    <w:rsid w:val="007375B8"/>
    <w:rsid w:val="00737841"/>
    <w:rsid w:val="00737E01"/>
    <w:rsid w:val="007401E3"/>
    <w:rsid w:val="00740BC0"/>
    <w:rsid w:val="0074103C"/>
    <w:rsid w:val="007417E3"/>
    <w:rsid w:val="007419A5"/>
    <w:rsid w:val="00741D4C"/>
    <w:rsid w:val="00751034"/>
    <w:rsid w:val="00753F2F"/>
    <w:rsid w:val="007545D0"/>
    <w:rsid w:val="00754DB5"/>
    <w:rsid w:val="007626E2"/>
    <w:rsid w:val="00764607"/>
    <w:rsid w:val="007656C0"/>
    <w:rsid w:val="00767E9E"/>
    <w:rsid w:val="007721BE"/>
    <w:rsid w:val="0077532A"/>
    <w:rsid w:val="0078390D"/>
    <w:rsid w:val="00784633"/>
    <w:rsid w:val="00785815"/>
    <w:rsid w:val="007862A8"/>
    <w:rsid w:val="00786616"/>
    <w:rsid w:val="00790CF2"/>
    <w:rsid w:val="00792AE0"/>
    <w:rsid w:val="007956EC"/>
    <w:rsid w:val="00796821"/>
    <w:rsid w:val="00797B14"/>
    <w:rsid w:val="007A689A"/>
    <w:rsid w:val="007B3935"/>
    <w:rsid w:val="007C3211"/>
    <w:rsid w:val="007C3CA0"/>
    <w:rsid w:val="007C70C7"/>
    <w:rsid w:val="007D0C0D"/>
    <w:rsid w:val="007D23EF"/>
    <w:rsid w:val="007D524E"/>
    <w:rsid w:val="007D5397"/>
    <w:rsid w:val="007D6E22"/>
    <w:rsid w:val="007E1665"/>
    <w:rsid w:val="007E18EC"/>
    <w:rsid w:val="007E19CF"/>
    <w:rsid w:val="007E6C4A"/>
    <w:rsid w:val="007E7DA6"/>
    <w:rsid w:val="007F2689"/>
    <w:rsid w:val="008028B2"/>
    <w:rsid w:val="00802BF3"/>
    <w:rsid w:val="00805285"/>
    <w:rsid w:val="008054F1"/>
    <w:rsid w:val="0080573D"/>
    <w:rsid w:val="00806F41"/>
    <w:rsid w:val="008075FA"/>
    <w:rsid w:val="00807A02"/>
    <w:rsid w:val="008121E0"/>
    <w:rsid w:val="00813E78"/>
    <w:rsid w:val="008145ED"/>
    <w:rsid w:val="00814FC6"/>
    <w:rsid w:val="00816542"/>
    <w:rsid w:val="00817143"/>
    <w:rsid w:val="00817C0A"/>
    <w:rsid w:val="0082120D"/>
    <w:rsid w:val="008252B0"/>
    <w:rsid w:val="0082540C"/>
    <w:rsid w:val="00825B33"/>
    <w:rsid w:val="00826DDF"/>
    <w:rsid w:val="00827483"/>
    <w:rsid w:val="00827A89"/>
    <w:rsid w:val="00830707"/>
    <w:rsid w:val="00831412"/>
    <w:rsid w:val="00832972"/>
    <w:rsid w:val="0083704C"/>
    <w:rsid w:val="00840ABE"/>
    <w:rsid w:val="00843BA7"/>
    <w:rsid w:val="0084466C"/>
    <w:rsid w:val="008479BF"/>
    <w:rsid w:val="00853131"/>
    <w:rsid w:val="00854571"/>
    <w:rsid w:val="0085469C"/>
    <w:rsid w:val="008565F3"/>
    <w:rsid w:val="008609EA"/>
    <w:rsid w:val="00860CDC"/>
    <w:rsid w:val="00861161"/>
    <w:rsid w:val="00861462"/>
    <w:rsid w:val="00867B88"/>
    <w:rsid w:val="008700C8"/>
    <w:rsid w:val="00873C3A"/>
    <w:rsid w:val="00876D49"/>
    <w:rsid w:val="008774C4"/>
    <w:rsid w:val="008774DA"/>
    <w:rsid w:val="008779A4"/>
    <w:rsid w:val="00877C72"/>
    <w:rsid w:val="008808B5"/>
    <w:rsid w:val="0088105B"/>
    <w:rsid w:val="008849D9"/>
    <w:rsid w:val="00884AA5"/>
    <w:rsid w:val="00886A88"/>
    <w:rsid w:val="008915EC"/>
    <w:rsid w:val="00894E27"/>
    <w:rsid w:val="00894F24"/>
    <w:rsid w:val="00895E6C"/>
    <w:rsid w:val="00896B24"/>
    <w:rsid w:val="008A4C64"/>
    <w:rsid w:val="008A4DD2"/>
    <w:rsid w:val="008A6F87"/>
    <w:rsid w:val="008A7E04"/>
    <w:rsid w:val="008B3F42"/>
    <w:rsid w:val="008B6DE6"/>
    <w:rsid w:val="008B7932"/>
    <w:rsid w:val="008C02DB"/>
    <w:rsid w:val="008C03F7"/>
    <w:rsid w:val="008C1AB8"/>
    <w:rsid w:val="008C5C63"/>
    <w:rsid w:val="008C79BD"/>
    <w:rsid w:val="008D45CD"/>
    <w:rsid w:val="008D5295"/>
    <w:rsid w:val="008D6CF0"/>
    <w:rsid w:val="008E7550"/>
    <w:rsid w:val="008F150E"/>
    <w:rsid w:val="008F250D"/>
    <w:rsid w:val="008F29C4"/>
    <w:rsid w:val="008F3760"/>
    <w:rsid w:val="008F3ED7"/>
    <w:rsid w:val="008F56C5"/>
    <w:rsid w:val="009005F4"/>
    <w:rsid w:val="00902A31"/>
    <w:rsid w:val="00902D4D"/>
    <w:rsid w:val="00903C25"/>
    <w:rsid w:val="00905033"/>
    <w:rsid w:val="0091437D"/>
    <w:rsid w:val="009152E0"/>
    <w:rsid w:val="00915DD7"/>
    <w:rsid w:val="009217C4"/>
    <w:rsid w:val="00921FEE"/>
    <w:rsid w:val="0092378D"/>
    <w:rsid w:val="009255BD"/>
    <w:rsid w:val="009306ED"/>
    <w:rsid w:val="00932112"/>
    <w:rsid w:val="009412BB"/>
    <w:rsid w:val="009428DC"/>
    <w:rsid w:val="00943255"/>
    <w:rsid w:val="009441E9"/>
    <w:rsid w:val="00944978"/>
    <w:rsid w:val="00944BC5"/>
    <w:rsid w:val="00945FC6"/>
    <w:rsid w:val="00947779"/>
    <w:rsid w:val="0095098E"/>
    <w:rsid w:val="00953062"/>
    <w:rsid w:val="00956B20"/>
    <w:rsid w:val="00965A6E"/>
    <w:rsid w:val="00973AF6"/>
    <w:rsid w:val="009765FA"/>
    <w:rsid w:val="00981AB5"/>
    <w:rsid w:val="00981D9D"/>
    <w:rsid w:val="009855CB"/>
    <w:rsid w:val="009856B0"/>
    <w:rsid w:val="009873CC"/>
    <w:rsid w:val="009914A3"/>
    <w:rsid w:val="00993DBF"/>
    <w:rsid w:val="009960BE"/>
    <w:rsid w:val="009961F5"/>
    <w:rsid w:val="0099758D"/>
    <w:rsid w:val="009A0013"/>
    <w:rsid w:val="009A04EE"/>
    <w:rsid w:val="009A2B78"/>
    <w:rsid w:val="009A3AF5"/>
    <w:rsid w:val="009A5681"/>
    <w:rsid w:val="009B1CF9"/>
    <w:rsid w:val="009B1F6F"/>
    <w:rsid w:val="009B2CED"/>
    <w:rsid w:val="009B4344"/>
    <w:rsid w:val="009B543D"/>
    <w:rsid w:val="009C0128"/>
    <w:rsid w:val="009C0185"/>
    <w:rsid w:val="009C1BE5"/>
    <w:rsid w:val="009C4D50"/>
    <w:rsid w:val="009D045F"/>
    <w:rsid w:val="009D2BD4"/>
    <w:rsid w:val="009D2FCA"/>
    <w:rsid w:val="009D3D6E"/>
    <w:rsid w:val="009D6043"/>
    <w:rsid w:val="009D798D"/>
    <w:rsid w:val="009E0D01"/>
    <w:rsid w:val="009E53E1"/>
    <w:rsid w:val="009E5658"/>
    <w:rsid w:val="009F0AE4"/>
    <w:rsid w:val="009F1F7D"/>
    <w:rsid w:val="009F2CCC"/>
    <w:rsid w:val="009F387E"/>
    <w:rsid w:val="009F50A9"/>
    <w:rsid w:val="009F593D"/>
    <w:rsid w:val="009F5FA7"/>
    <w:rsid w:val="00A02A19"/>
    <w:rsid w:val="00A04CFA"/>
    <w:rsid w:val="00A079F5"/>
    <w:rsid w:val="00A11510"/>
    <w:rsid w:val="00A1201F"/>
    <w:rsid w:val="00A14D58"/>
    <w:rsid w:val="00A162A3"/>
    <w:rsid w:val="00A219E2"/>
    <w:rsid w:val="00A21C8E"/>
    <w:rsid w:val="00A23731"/>
    <w:rsid w:val="00A25719"/>
    <w:rsid w:val="00A25CD2"/>
    <w:rsid w:val="00A27687"/>
    <w:rsid w:val="00A30055"/>
    <w:rsid w:val="00A301FE"/>
    <w:rsid w:val="00A3328D"/>
    <w:rsid w:val="00A33C1E"/>
    <w:rsid w:val="00A37A15"/>
    <w:rsid w:val="00A404CE"/>
    <w:rsid w:val="00A446A4"/>
    <w:rsid w:val="00A45A56"/>
    <w:rsid w:val="00A54107"/>
    <w:rsid w:val="00A54525"/>
    <w:rsid w:val="00A5606E"/>
    <w:rsid w:val="00A568B4"/>
    <w:rsid w:val="00A611DE"/>
    <w:rsid w:val="00A61C35"/>
    <w:rsid w:val="00A64AD8"/>
    <w:rsid w:val="00A66C92"/>
    <w:rsid w:val="00A706EB"/>
    <w:rsid w:val="00A70B37"/>
    <w:rsid w:val="00A72356"/>
    <w:rsid w:val="00A736C8"/>
    <w:rsid w:val="00A763A4"/>
    <w:rsid w:val="00A773D2"/>
    <w:rsid w:val="00A8120F"/>
    <w:rsid w:val="00A819A4"/>
    <w:rsid w:val="00A87350"/>
    <w:rsid w:val="00A91BE7"/>
    <w:rsid w:val="00A92FC9"/>
    <w:rsid w:val="00AA18BA"/>
    <w:rsid w:val="00AA2CCE"/>
    <w:rsid w:val="00AA4346"/>
    <w:rsid w:val="00AA77DB"/>
    <w:rsid w:val="00AB18DB"/>
    <w:rsid w:val="00AB3893"/>
    <w:rsid w:val="00AB5CE3"/>
    <w:rsid w:val="00AB6A86"/>
    <w:rsid w:val="00AC29C5"/>
    <w:rsid w:val="00AC3799"/>
    <w:rsid w:val="00AC63B6"/>
    <w:rsid w:val="00AC6A27"/>
    <w:rsid w:val="00AC7997"/>
    <w:rsid w:val="00AD0729"/>
    <w:rsid w:val="00AE2565"/>
    <w:rsid w:val="00AE2C67"/>
    <w:rsid w:val="00AF108D"/>
    <w:rsid w:val="00AF267A"/>
    <w:rsid w:val="00AF28FD"/>
    <w:rsid w:val="00AF40E4"/>
    <w:rsid w:val="00B014B9"/>
    <w:rsid w:val="00B03D96"/>
    <w:rsid w:val="00B05B6A"/>
    <w:rsid w:val="00B0642C"/>
    <w:rsid w:val="00B10911"/>
    <w:rsid w:val="00B1268A"/>
    <w:rsid w:val="00B140CB"/>
    <w:rsid w:val="00B15555"/>
    <w:rsid w:val="00B16B52"/>
    <w:rsid w:val="00B17161"/>
    <w:rsid w:val="00B2051A"/>
    <w:rsid w:val="00B20E04"/>
    <w:rsid w:val="00B20FFE"/>
    <w:rsid w:val="00B21DEE"/>
    <w:rsid w:val="00B22A8C"/>
    <w:rsid w:val="00B253B5"/>
    <w:rsid w:val="00B30B58"/>
    <w:rsid w:val="00B314E3"/>
    <w:rsid w:val="00B41FE1"/>
    <w:rsid w:val="00B42FBD"/>
    <w:rsid w:val="00B43167"/>
    <w:rsid w:val="00B44380"/>
    <w:rsid w:val="00B52638"/>
    <w:rsid w:val="00B5271F"/>
    <w:rsid w:val="00B528FD"/>
    <w:rsid w:val="00B53467"/>
    <w:rsid w:val="00B540DB"/>
    <w:rsid w:val="00B60C0B"/>
    <w:rsid w:val="00B62420"/>
    <w:rsid w:val="00B64ACC"/>
    <w:rsid w:val="00B64C79"/>
    <w:rsid w:val="00B6558A"/>
    <w:rsid w:val="00B65669"/>
    <w:rsid w:val="00B70455"/>
    <w:rsid w:val="00B70B6D"/>
    <w:rsid w:val="00B74157"/>
    <w:rsid w:val="00B760F7"/>
    <w:rsid w:val="00B7727D"/>
    <w:rsid w:val="00B77F4C"/>
    <w:rsid w:val="00B800C3"/>
    <w:rsid w:val="00B83934"/>
    <w:rsid w:val="00B90D42"/>
    <w:rsid w:val="00B9370F"/>
    <w:rsid w:val="00B94384"/>
    <w:rsid w:val="00B97D32"/>
    <w:rsid w:val="00BA0659"/>
    <w:rsid w:val="00BA1E1D"/>
    <w:rsid w:val="00BA208C"/>
    <w:rsid w:val="00BA2605"/>
    <w:rsid w:val="00BA3145"/>
    <w:rsid w:val="00BA6B20"/>
    <w:rsid w:val="00BA6B82"/>
    <w:rsid w:val="00BB6C34"/>
    <w:rsid w:val="00BB6E35"/>
    <w:rsid w:val="00BB6E4F"/>
    <w:rsid w:val="00BC50E8"/>
    <w:rsid w:val="00BC52EE"/>
    <w:rsid w:val="00BD118B"/>
    <w:rsid w:val="00BD3645"/>
    <w:rsid w:val="00BD3701"/>
    <w:rsid w:val="00BD4DA4"/>
    <w:rsid w:val="00BE0AA5"/>
    <w:rsid w:val="00BE17AB"/>
    <w:rsid w:val="00BE5E85"/>
    <w:rsid w:val="00BF4355"/>
    <w:rsid w:val="00BF68C2"/>
    <w:rsid w:val="00BF69BB"/>
    <w:rsid w:val="00C02174"/>
    <w:rsid w:val="00C02E13"/>
    <w:rsid w:val="00C20632"/>
    <w:rsid w:val="00C23883"/>
    <w:rsid w:val="00C27142"/>
    <w:rsid w:val="00C3410D"/>
    <w:rsid w:val="00C34BE2"/>
    <w:rsid w:val="00C35580"/>
    <w:rsid w:val="00C35A49"/>
    <w:rsid w:val="00C36D80"/>
    <w:rsid w:val="00C373E8"/>
    <w:rsid w:val="00C42FCF"/>
    <w:rsid w:val="00C43600"/>
    <w:rsid w:val="00C45956"/>
    <w:rsid w:val="00C627CD"/>
    <w:rsid w:val="00C6594E"/>
    <w:rsid w:val="00C65ECE"/>
    <w:rsid w:val="00C66419"/>
    <w:rsid w:val="00C6681D"/>
    <w:rsid w:val="00C676D8"/>
    <w:rsid w:val="00C67BBA"/>
    <w:rsid w:val="00C76D4D"/>
    <w:rsid w:val="00C80722"/>
    <w:rsid w:val="00C80B29"/>
    <w:rsid w:val="00C82F69"/>
    <w:rsid w:val="00C831F5"/>
    <w:rsid w:val="00C86EE5"/>
    <w:rsid w:val="00C87ACD"/>
    <w:rsid w:val="00C90B35"/>
    <w:rsid w:val="00C912A0"/>
    <w:rsid w:val="00C94BEB"/>
    <w:rsid w:val="00C9552C"/>
    <w:rsid w:val="00CA0D4F"/>
    <w:rsid w:val="00CB487E"/>
    <w:rsid w:val="00CB6218"/>
    <w:rsid w:val="00CB66BB"/>
    <w:rsid w:val="00CC0847"/>
    <w:rsid w:val="00CC21BB"/>
    <w:rsid w:val="00CC4417"/>
    <w:rsid w:val="00CC5AE3"/>
    <w:rsid w:val="00CD1730"/>
    <w:rsid w:val="00CD22C2"/>
    <w:rsid w:val="00CD56DC"/>
    <w:rsid w:val="00CD65C7"/>
    <w:rsid w:val="00D00F2F"/>
    <w:rsid w:val="00D01C78"/>
    <w:rsid w:val="00D027BB"/>
    <w:rsid w:val="00D027F6"/>
    <w:rsid w:val="00D0475E"/>
    <w:rsid w:val="00D058AA"/>
    <w:rsid w:val="00D11B1C"/>
    <w:rsid w:val="00D11E9B"/>
    <w:rsid w:val="00D12D3D"/>
    <w:rsid w:val="00D14196"/>
    <w:rsid w:val="00D16192"/>
    <w:rsid w:val="00D22C38"/>
    <w:rsid w:val="00D22DE0"/>
    <w:rsid w:val="00D2479B"/>
    <w:rsid w:val="00D26529"/>
    <w:rsid w:val="00D27AAD"/>
    <w:rsid w:val="00D32959"/>
    <w:rsid w:val="00D35561"/>
    <w:rsid w:val="00D3563B"/>
    <w:rsid w:val="00D40626"/>
    <w:rsid w:val="00D40C89"/>
    <w:rsid w:val="00D41B23"/>
    <w:rsid w:val="00D43544"/>
    <w:rsid w:val="00D4478F"/>
    <w:rsid w:val="00D46CEF"/>
    <w:rsid w:val="00D46DC2"/>
    <w:rsid w:val="00D47887"/>
    <w:rsid w:val="00D47D75"/>
    <w:rsid w:val="00D514D1"/>
    <w:rsid w:val="00D51A65"/>
    <w:rsid w:val="00D52924"/>
    <w:rsid w:val="00D54234"/>
    <w:rsid w:val="00D558B8"/>
    <w:rsid w:val="00D55ED0"/>
    <w:rsid w:val="00D5664F"/>
    <w:rsid w:val="00D60D4B"/>
    <w:rsid w:val="00D61488"/>
    <w:rsid w:val="00D620FA"/>
    <w:rsid w:val="00D624C4"/>
    <w:rsid w:val="00D62950"/>
    <w:rsid w:val="00D62A09"/>
    <w:rsid w:val="00D633DB"/>
    <w:rsid w:val="00D638B1"/>
    <w:rsid w:val="00D666A9"/>
    <w:rsid w:val="00D6756E"/>
    <w:rsid w:val="00D7171C"/>
    <w:rsid w:val="00D71EA0"/>
    <w:rsid w:val="00D76338"/>
    <w:rsid w:val="00D77851"/>
    <w:rsid w:val="00D80587"/>
    <w:rsid w:val="00D813C2"/>
    <w:rsid w:val="00D8301D"/>
    <w:rsid w:val="00D8391C"/>
    <w:rsid w:val="00D85E48"/>
    <w:rsid w:val="00D85F27"/>
    <w:rsid w:val="00D87D05"/>
    <w:rsid w:val="00D908A4"/>
    <w:rsid w:val="00D917AF"/>
    <w:rsid w:val="00D93084"/>
    <w:rsid w:val="00D93C21"/>
    <w:rsid w:val="00D95468"/>
    <w:rsid w:val="00D97C6A"/>
    <w:rsid w:val="00DA07E0"/>
    <w:rsid w:val="00DA5805"/>
    <w:rsid w:val="00DB048F"/>
    <w:rsid w:val="00DB150D"/>
    <w:rsid w:val="00DB21B2"/>
    <w:rsid w:val="00DB73AF"/>
    <w:rsid w:val="00DC0C98"/>
    <w:rsid w:val="00DC211B"/>
    <w:rsid w:val="00DC3F4D"/>
    <w:rsid w:val="00DC3F79"/>
    <w:rsid w:val="00DC54E3"/>
    <w:rsid w:val="00DD2CD8"/>
    <w:rsid w:val="00DD33A3"/>
    <w:rsid w:val="00DD3E2D"/>
    <w:rsid w:val="00DD619C"/>
    <w:rsid w:val="00DE22D1"/>
    <w:rsid w:val="00DE359F"/>
    <w:rsid w:val="00DE51D5"/>
    <w:rsid w:val="00DE58F6"/>
    <w:rsid w:val="00DE7126"/>
    <w:rsid w:val="00DF1980"/>
    <w:rsid w:val="00DF4098"/>
    <w:rsid w:val="00DF6CC9"/>
    <w:rsid w:val="00E124BF"/>
    <w:rsid w:val="00E126F0"/>
    <w:rsid w:val="00E133FF"/>
    <w:rsid w:val="00E165FB"/>
    <w:rsid w:val="00E1737A"/>
    <w:rsid w:val="00E21232"/>
    <w:rsid w:val="00E25482"/>
    <w:rsid w:val="00E259F4"/>
    <w:rsid w:val="00E25D84"/>
    <w:rsid w:val="00E27A01"/>
    <w:rsid w:val="00E347E5"/>
    <w:rsid w:val="00E34CAD"/>
    <w:rsid w:val="00E35A2B"/>
    <w:rsid w:val="00E40A0A"/>
    <w:rsid w:val="00E428CE"/>
    <w:rsid w:val="00E44409"/>
    <w:rsid w:val="00E4619B"/>
    <w:rsid w:val="00E51327"/>
    <w:rsid w:val="00E515DF"/>
    <w:rsid w:val="00E51E32"/>
    <w:rsid w:val="00E550B8"/>
    <w:rsid w:val="00E55469"/>
    <w:rsid w:val="00E6074D"/>
    <w:rsid w:val="00E614BD"/>
    <w:rsid w:val="00E61BB4"/>
    <w:rsid w:val="00E62DDD"/>
    <w:rsid w:val="00E709E6"/>
    <w:rsid w:val="00E714DC"/>
    <w:rsid w:val="00E7200C"/>
    <w:rsid w:val="00E72B9D"/>
    <w:rsid w:val="00E750A9"/>
    <w:rsid w:val="00E755AD"/>
    <w:rsid w:val="00E767DD"/>
    <w:rsid w:val="00E76FEE"/>
    <w:rsid w:val="00E83BE5"/>
    <w:rsid w:val="00E84192"/>
    <w:rsid w:val="00E865A7"/>
    <w:rsid w:val="00E9029D"/>
    <w:rsid w:val="00E92713"/>
    <w:rsid w:val="00E92F6B"/>
    <w:rsid w:val="00E93747"/>
    <w:rsid w:val="00EA3235"/>
    <w:rsid w:val="00EA4EE9"/>
    <w:rsid w:val="00EA53E3"/>
    <w:rsid w:val="00EA66BB"/>
    <w:rsid w:val="00EA6A19"/>
    <w:rsid w:val="00EA6F8C"/>
    <w:rsid w:val="00EA7DD4"/>
    <w:rsid w:val="00EB02A8"/>
    <w:rsid w:val="00EB2847"/>
    <w:rsid w:val="00EB480F"/>
    <w:rsid w:val="00EB4A2E"/>
    <w:rsid w:val="00EB658C"/>
    <w:rsid w:val="00EB78C1"/>
    <w:rsid w:val="00EC03D4"/>
    <w:rsid w:val="00EC175F"/>
    <w:rsid w:val="00EC30A9"/>
    <w:rsid w:val="00EC7837"/>
    <w:rsid w:val="00ED04F6"/>
    <w:rsid w:val="00ED26FD"/>
    <w:rsid w:val="00ED75EF"/>
    <w:rsid w:val="00ED78DF"/>
    <w:rsid w:val="00EE0B51"/>
    <w:rsid w:val="00EE0C3C"/>
    <w:rsid w:val="00EE31AE"/>
    <w:rsid w:val="00EE38B3"/>
    <w:rsid w:val="00EE3F48"/>
    <w:rsid w:val="00EE4530"/>
    <w:rsid w:val="00EE5889"/>
    <w:rsid w:val="00EF1753"/>
    <w:rsid w:val="00EF46EC"/>
    <w:rsid w:val="00EF4C7E"/>
    <w:rsid w:val="00EF71FD"/>
    <w:rsid w:val="00EF7243"/>
    <w:rsid w:val="00EF745D"/>
    <w:rsid w:val="00F00FF7"/>
    <w:rsid w:val="00F04C82"/>
    <w:rsid w:val="00F050CD"/>
    <w:rsid w:val="00F055FB"/>
    <w:rsid w:val="00F06E5A"/>
    <w:rsid w:val="00F07AE5"/>
    <w:rsid w:val="00F10DC0"/>
    <w:rsid w:val="00F12914"/>
    <w:rsid w:val="00F1339F"/>
    <w:rsid w:val="00F15169"/>
    <w:rsid w:val="00F161CC"/>
    <w:rsid w:val="00F16A34"/>
    <w:rsid w:val="00F20211"/>
    <w:rsid w:val="00F2260B"/>
    <w:rsid w:val="00F24468"/>
    <w:rsid w:val="00F25006"/>
    <w:rsid w:val="00F3086F"/>
    <w:rsid w:val="00F32367"/>
    <w:rsid w:val="00F3320C"/>
    <w:rsid w:val="00F3350F"/>
    <w:rsid w:val="00F35D58"/>
    <w:rsid w:val="00F378AF"/>
    <w:rsid w:val="00F37C20"/>
    <w:rsid w:val="00F413E3"/>
    <w:rsid w:val="00F44BA7"/>
    <w:rsid w:val="00F503B2"/>
    <w:rsid w:val="00F52364"/>
    <w:rsid w:val="00F54707"/>
    <w:rsid w:val="00F55365"/>
    <w:rsid w:val="00F56572"/>
    <w:rsid w:val="00F60DA9"/>
    <w:rsid w:val="00F6743A"/>
    <w:rsid w:val="00F67D8E"/>
    <w:rsid w:val="00F71E5F"/>
    <w:rsid w:val="00F739F0"/>
    <w:rsid w:val="00F7646C"/>
    <w:rsid w:val="00F807F7"/>
    <w:rsid w:val="00F80EBF"/>
    <w:rsid w:val="00F81CAB"/>
    <w:rsid w:val="00F8218D"/>
    <w:rsid w:val="00F831F8"/>
    <w:rsid w:val="00F8381D"/>
    <w:rsid w:val="00F85692"/>
    <w:rsid w:val="00F8573D"/>
    <w:rsid w:val="00F87094"/>
    <w:rsid w:val="00F9012C"/>
    <w:rsid w:val="00FA0018"/>
    <w:rsid w:val="00FA0213"/>
    <w:rsid w:val="00FA544D"/>
    <w:rsid w:val="00FA7A36"/>
    <w:rsid w:val="00FB02FE"/>
    <w:rsid w:val="00FB1AD7"/>
    <w:rsid w:val="00FB2B43"/>
    <w:rsid w:val="00FB46A0"/>
    <w:rsid w:val="00FB48CD"/>
    <w:rsid w:val="00FC0105"/>
    <w:rsid w:val="00FC7E05"/>
    <w:rsid w:val="00FE16F1"/>
    <w:rsid w:val="00FE394B"/>
    <w:rsid w:val="00FE6036"/>
    <w:rsid w:val="00FE6E36"/>
    <w:rsid w:val="00FE79E0"/>
    <w:rsid w:val="00FF0F6B"/>
    <w:rsid w:val="00FF2B1F"/>
    <w:rsid w:val="00FF50A0"/>
    <w:rsid w:val="00FF54F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hapeDefaults>
    <o:shapedefaults v:ext="edit" spidmax="1026"/>
    <o:shapelayout v:ext="edit">
      <o:idmap v:ext="edit" data="1"/>
    </o:shapelayout>
  </w:shapeDefaults>
  <w:decimalSymbol w:val="."/>
  <w:listSeparator w:val=","/>
  <w15:docId w15:val="{288436D7-DBA3-483A-B17B-B7E95418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9C5"/>
    <w:pPr>
      <w:ind w:left="720"/>
      <w:contextualSpacing/>
    </w:pPr>
  </w:style>
  <w:style w:type="paragraph" w:styleId="Header">
    <w:name w:val="header"/>
    <w:basedOn w:val="Normal"/>
    <w:link w:val="HeaderChar"/>
    <w:uiPriority w:val="99"/>
    <w:unhideWhenUsed/>
    <w:rsid w:val="002C7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8CF"/>
  </w:style>
  <w:style w:type="paragraph" w:styleId="Footer">
    <w:name w:val="footer"/>
    <w:basedOn w:val="Normal"/>
    <w:link w:val="FooterChar"/>
    <w:uiPriority w:val="99"/>
    <w:unhideWhenUsed/>
    <w:rsid w:val="002C7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8CF"/>
  </w:style>
  <w:style w:type="paragraph" w:styleId="FootnoteText">
    <w:name w:val="footnote text"/>
    <w:basedOn w:val="Normal"/>
    <w:link w:val="FootnoteTextChar"/>
    <w:uiPriority w:val="99"/>
    <w:semiHidden/>
    <w:unhideWhenUsed/>
    <w:rsid w:val="006145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458D"/>
    <w:rPr>
      <w:sz w:val="20"/>
      <w:szCs w:val="20"/>
    </w:rPr>
  </w:style>
  <w:style w:type="character" w:styleId="FootnoteReference">
    <w:name w:val="footnote reference"/>
    <w:basedOn w:val="DefaultParagraphFont"/>
    <w:uiPriority w:val="99"/>
    <w:semiHidden/>
    <w:unhideWhenUsed/>
    <w:rsid w:val="0061458D"/>
    <w:rPr>
      <w:vertAlign w:val="superscript"/>
    </w:rPr>
  </w:style>
  <w:style w:type="table" w:styleId="TableGrid">
    <w:name w:val="Table Grid"/>
    <w:basedOn w:val="TableNormal"/>
    <w:uiPriority w:val="39"/>
    <w:rsid w:val="00880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7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8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3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F3208-38F5-41C6-B58C-7B676FFDD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6339</Words>
  <Characters>36138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Justice Kudya</dc:creator>
  <cp:lastModifiedBy>JSC</cp:lastModifiedBy>
  <cp:revision>2</cp:revision>
  <cp:lastPrinted>2019-11-07T09:28:00Z</cp:lastPrinted>
  <dcterms:created xsi:type="dcterms:W3CDTF">2019-11-11T09:21:00Z</dcterms:created>
  <dcterms:modified xsi:type="dcterms:W3CDTF">2019-11-11T09:21:00Z</dcterms:modified>
</cp:coreProperties>
</file>