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32" w:rsidRPr="006B2410" w:rsidRDefault="00E649F7" w:rsidP="00BC338F">
      <w:pPr>
        <w:rPr>
          <w:rFonts w:ascii="Times New Roman" w:hAnsi="Times New Roman" w:cs="Times New Roman"/>
          <w:sz w:val="24"/>
          <w:szCs w:val="24"/>
        </w:rPr>
      </w:pPr>
      <w:bookmarkStart w:id="0" w:name="_GoBack"/>
      <w:bookmarkEnd w:id="0"/>
      <w:r w:rsidRPr="006B2410">
        <w:rPr>
          <w:rFonts w:ascii="Times New Roman" w:hAnsi="Times New Roman" w:cs="Times New Roman"/>
          <w:i/>
          <w:sz w:val="24"/>
          <w:szCs w:val="24"/>
        </w:rPr>
        <w:t xml:space="preserve"> </w:t>
      </w:r>
      <w:r w:rsidR="00810332" w:rsidRPr="006B2410">
        <w:rPr>
          <w:rFonts w:ascii="Times New Roman" w:hAnsi="Times New Roman" w:cs="Times New Roman"/>
          <w:sz w:val="24"/>
          <w:szCs w:val="24"/>
        </w:rPr>
        <w:tab/>
      </w:r>
      <w:r w:rsidR="00810332" w:rsidRPr="006B2410">
        <w:rPr>
          <w:rFonts w:ascii="Times New Roman" w:hAnsi="Times New Roman" w:cs="Times New Roman"/>
          <w:sz w:val="24"/>
          <w:szCs w:val="24"/>
        </w:rPr>
        <w:tab/>
      </w:r>
      <w:r w:rsidR="00810332" w:rsidRPr="006B2410">
        <w:rPr>
          <w:rFonts w:ascii="Times New Roman" w:hAnsi="Times New Roman" w:cs="Times New Roman"/>
          <w:sz w:val="24"/>
          <w:szCs w:val="24"/>
        </w:rPr>
        <w:tab/>
      </w:r>
      <w:r w:rsidR="00810332" w:rsidRPr="006B2410">
        <w:rPr>
          <w:rFonts w:ascii="Times New Roman" w:hAnsi="Times New Roman" w:cs="Times New Roman"/>
          <w:sz w:val="24"/>
          <w:szCs w:val="24"/>
        </w:rPr>
        <w:tab/>
      </w:r>
      <w:r w:rsidR="00810332" w:rsidRPr="006B2410">
        <w:rPr>
          <w:rFonts w:ascii="Times New Roman" w:hAnsi="Times New Roman" w:cs="Times New Roman"/>
          <w:sz w:val="24"/>
          <w:szCs w:val="24"/>
        </w:rPr>
        <w:tab/>
      </w:r>
      <w:r w:rsidR="00810332" w:rsidRPr="006B2410">
        <w:rPr>
          <w:rFonts w:ascii="Times New Roman" w:hAnsi="Times New Roman" w:cs="Times New Roman"/>
          <w:sz w:val="24"/>
          <w:szCs w:val="24"/>
        </w:rPr>
        <w:tab/>
        <w:t xml:space="preserve">     </w:t>
      </w:r>
    </w:p>
    <w:p w:rsidR="00810332" w:rsidRPr="006B2410" w:rsidRDefault="005963FD" w:rsidP="00BC338F">
      <w:pPr>
        <w:spacing w:after="0" w:line="240" w:lineRule="auto"/>
        <w:jc w:val="both"/>
        <w:rPr>
          <w:rFonts w:ascii="Times New Roman" w:hAnsi="Times New Roman" w:cs="Times New Roman"/>
          <w:sz w:val="24"/>
          <w:szCs w:val="24"/>
        </w:rPr>
      </w:pPr>
      <w:r w:rsidRPr="006B2410">
        <w:rPr>
          <w:rFonts w:ascii="Times New Roman" w:hAnsi="Times New Roman" w:cs="Times New Roman"/>
          <w:sz w:val="24"/>
          <w:szCs w:val="24"/>
        </w:rPr>
        <w:t>GFZ LTD</w:t>
      </w:r>
    </w:p>
    <w:p w:rsidR="00810332" w:rsidRPr="006B2410" w:rsidRDefault="005963FD" w:rsidP="00BC338F">
      <w:pPr>
        <w:spacing w:after="0" w:line="240" w:lineRule="auto"/>
        <w:jc w:val="both"/>
        <w:rPr>
          <w:rFonts w:ascii="Times New Roman" w:hAnsi="Times New Roman" w:cs="Times New Roman"/>
          <w:sz w:val="24"/>
          <w:szCs w:val="24"/>
        </w:rPr>
      </w:pPr>
      <w:r w:rsidRPr="006B2410">
        <w:rPr>
          <w:rFonts w:ascii="Times New Roman" w:hAnsi="Times New Roman" w:cs="Times New Roman"/>
          <w:sz w:val="24"/>
          <w:szCs w:val="24"/>
        </w:rPr>
        <w:t>v</w:t>
      </w:r>
      <w:r w:rsidR="00810332" w:rsidRPr="006B2410">
        <w:rPr>
          <w:rFonts w:ascii="Times New Roman" w:hAnsi="Times New Roman" w:cs="Times New Roman"/>
          <w:sz w:val="24"/>
          <w:szCs w:val="24"/>
        </w:rPr>
        <w:t>ersus</w:t>
      </w:r>
    </w:p>
    <w:p w:rsidR="00810332" w:rsidRDefault="00810332" w:rsidP="00BC338F">
      <w:pPr>
        <w:spacing w:after="0" w:line="240" w:lineRule="auto"/>
        <w:jc w:val="both"/>
        <w:rPr>
          <w:rFonts w:ascii="Times New Roman" w:hAnsi="Times New Roman" w:cs="Times New Roman"/>
          <w:sz w:val="24"/>
          <w:szCs w:val="24"/>
        </w:rPr>
      </w:pPr>
      <w:r w:rsidRPr="006B2410">
        <w:rPr>
          <w:rFonts w:ascii="Times New Roman" w:hAnsi="Times New Roman" w:cs="Times New Roman"/>
          <w:sz w:val="24"/>
          <w:szCs w:val="24"/>
        </w:rPr>
        <w:t>ZIMBABWE REVENUE AUTHORITY</w:t>
      </w:r>
    </w:p>
    <w:p w:rsidR="00BC338F" w:rsidRDefault="00BC338F" w:rsidP="00BC338F">
      <w:pPr>
        <w:spacing w:after="0" w:line="240" w:lineRule="auto"/>
        <w:jc w:val="both"/>
        <w:rPr>
          <w:rFonts w:ascii="Times New Roman" w:hAnsi="Times New Roman" w:cs="Times New Roman"/>
          <w:sz w:val="24"/>
          <w:szCs w:val="24"/>
        </w:rPr>
      </w:pPr>
    </w:p>
    <w:p w:rsidR="00BC338F" w:rsidRDefault="00BC338F" w:rsidP="00BC338F">
      <w:pPr>
        <w:spacing w:after="0" w:line="240" w:lineRule="auto"/>
        <w:jc w:val="both"/>
        <w:rPr>
          <w:rFonts w:ascii="Times New Roman" w:hAnsi="Times New Roman" w:cs="Times New Roman"/>
          <w:sz w:val="24"/>
          <w:szCs w:val="24"/>
        </w:rPr>
      </w:pPr>
    </w:p>
    <w:p w:rsidR="00BC338F" w:rsidRPr="006B2410" w:rsidRDefault="00BC338F" w:rsidP="00BC338F">
      <w:pPr>
        <w:spacing w:after="0" w:line="240" w:lineRule="auto"/>
        <w:jc w:val="both"/>
        <w:rPr>
          <w:rFonts w:ascii="Times New Roman" w:hAnsi="Times New Roman" w:cs="Times New Roman"/>
          <w:sz w:val="24"/>
          <w:szCs w:val="24"/>
        </w:rPr>
      </w:pPr>
    </w:p>
    <w:p w:rsidR="00810332" w:rsidRPr="006B2410" w:rsidRDefault="00810332" w:rsidP="00BC338F">
      <w:pPr>
        <w:spacing w:after="0" w:line="240" w:lineRule="auto"/>
        <w:jc w:val="both"/>
        <w:rPr>
          <w:rFonts w:ascii="Times New Roman" w:hAnsi="Times New Roman" w:cs="Times New Roman"/>
          <w:sz w:val="24"/>
          <w:szCs w:val="24"/>
        </w:rPr>
      </w:pPr>
      <w:r w:rsidRPr="006B2410">
        <w:rPr>
          <w:rFonts w:ascii="Times New Roman" w:hAnsi="Times New Roman" w:cs="Times New Roman"/>
          <w:sz w:val="24"/>
          <w:szCs w:val="24"/>
        </w:rPr>
        <w:t>SPECIAL COURT FOR INCOME TAX APPEALS</w:t>
      </w:r>
    </w:p>
    <w:p w:rsidR="00810332" w:rsidRPr="006B2410" w:rsidRDefault="00810332" w:rsidP="00BC338F">
      <w:pPr>
        <w:spacing w:after="0" w:line="240" w:lineRule="auto"/>
        <w:jc w:val="both"/>
        <w:rPr>
          <w:rFonts w:ascii="Times New Roman" w:hAnsi="Times New Roman" w:cs="Times New Roman"/>
          <w:sz w:val="24"/>
          <w:szCs w:val="24"/>
        </w:rPr>
      </w:pPr>
      <w:r w:rsidRPr="006B2410">
        <w:rPr>
          <w:rFonts w:ascii="Times New Roman" w:hAnsi="Times New Roman" w:cs="Times New Roman"/>
          <w:sz w:val="24"/>
          <w:szCs w:val="24"/>
        </w:rPr>
        <w:t>KUDYA J</w:t>
      </w:r>
    </w:p>
    <w:p w:rsidR="00810332" w:rsidRDefault="00D57642" w:rsidP="00BC338F">
      <w:pPr>
        <w:spacing w:after="0" w:line="240" w:lineRule="auto"/>
        <w:jc w:val="both"/>
        <w:rPr>
          <w:rFonts w:ascii="Times New Roman" w:hAnsi="Times New Roman" w:cs="Times New Roman"/>
          <w:sz w:val="24"/>
          <w:szCs w:val="24"/>
        </w:rPr>
      </w:pPr>
      <w:r w:rsidRPr="006B2410">
        <w:rPr>
          <w:rFonts w:ascii="Times New Roman" w:hAnsi="Times New Roman" w:cs="Times New Roman"/>
          <w:sz w:val="24"/>
          <w:szCs w:val="24"/>
        </w:rPr>
        <w:t>HARARE</w:t>
      </w:r>
      <w:r w:rsidR="00BC338F">
        <w:rPr>
          <w:rFonts w:ascii="Times New Roman" w:hAnsi="Times New Roman" w:cs="Times New Roman"/>
          <w:sz w:val="24"/>
          <w:szCs w:val="24"/>
        </w:rPr>
        <w:t>,</w:t>
      </w:r>
      <w:r w:rsidR="00A22DAF" w:rsidRPr="006B2410">
        <w:rPr>
          <w:rFonts w:ascii="Times New Roman" w:hAnsi="Times New Roman" w:cs="Times New Roman"/>
          <w:sz w:val="24"/>
          <w:szCs w:val="24"/>
        </w:rPr>
        <w:t xml:space="preserve"> 27 and 28 November 2017 and 24 </w:t>
      </w:r>
      <w:r w:rsidR="00810332" w:rsidRPr="006B2410">
        <w:rPr>
          <w:rFonts w:ascii="Times New Roman" w:hAnsi="Times New Roman" w:cs="Times New Roman"/>
          <w:sz w:val="24"/>
          <w:szCs w:val="24"/>
        </w:rPr>
        <w:t>December 2019</w:t>
      </w:r>
    </w:p>
    <w:p w:rsidR="00BC338F" w:rsidRDefault="00BC338F" w:rsidP="00BC338F">
      <w:pPr>
        <w:spacing w:after="0" w:line="240" w:lineRule="auto"/>
        <w:jc w:val="both"/>
        <w:rPr>
          <w:rFonts w:ascii="Times New Roman" w:hAnsi="Times New Roman" w:cs="Times New Roman"/>
          <w:sz w:val="24"/>
          <w:szCs w:val="24"/>
        </w:rPr>
      </w:pPr>
    </w:p>
    <w:p w:rsidR="00BC338F" w:rsidRDefault="00BC338F" w:rsidP="00BC338F">
      <w:pPr>
        <w:spacing w:after="0" w:line="240" w:lineRule="auto"/>
        <w:jc w:val="both"/>
        <w:rPr>
          <w:rFonts w:ascii="Times New Roman" w:hAnsi="Times New Roman" w:cs="Times New Roman"/>
          <w:sz w:val="24"/>
          <w:szCs w:val="24"/>
        </w:rPr>
      </w:pPr>
    </w:p>
    <w:p w:rsidR="00BC338F" w:rsidRPr="006B2410" w:rsidRDefault="00BC338F" w:rsidP="00BC338F">
      <w:pPr>
        <w:spacing w:after="0" w:line="240" w:lineRule="auto"/>
        <w:jc w:val="both"/>
        <w:rPr>
          <w:rFonts w:ascii="Times New Roman" w:hAnsi="Times New Roman" w:cs="Times New Roman"/>
          <w:sz w:val="24"/>
          <w:szCs w:val="24"/>
        </w:rPr>
      </w:pPr>
    </w:p>
    <w:p w:rsidR="00810332" w:rsidRDefault="00810332" w:rsidP="00810332">
      <w:pPr>
        <w:jc w:val="both"/>
        <w:rPr>
          <w:rFonts w:ascii="Times New Roman" w:hAnsi="Times New Roman" w:cs="Times New Roman"/>
          <w:b/>
          <w:sz w:val="24"/>
          <w:szCs w:val="24"/>
        </w:rPr>
      </w:pPr>
      <w:r w:rsidRPr="006B2410">
        <w:rPr>
          <w:rFonts w:ascii="Times New Roman" w:hAnsi="Times New Roman" w:cs="Times New Roman"/>
          <w:b/>
          <w:sz w:val="24"/>
          <w:szCs w:val="24"/>
        </w:rPr>
        <w:t>Income Tax Appeal</w:t>
      </w:r>
    </w:p>
    <w:p w:rsidR="00BC338F" w:rsidRPr="006B2410" w:rsidRDefault="00BC338F" w:rsidP="00810332">
      <w:pPr>
        <w:jc w:val="both"/>
        <w:rPr>
          <w:rFonts w:ascii="Times New Roman" w:hAnsi="Times New Roman" w:cs="Times New Roman"/>
          <w:b/>
          <w:sz w:val="24"/>
          <w:szCs w:val="24"/>
        </w:rPr>
      </w:pPr>
    </w:p>
    <w:p w:rsidR="00810332" w:rsidRPr="006B2410" w:rsidRDefault="00810332" w:rsidP="00BC338F">
      <w:pPr>
        <w:spacing w:after="0" w:line="240" w:lineRule="auto"/>
        <w:jc w:val="both"/>
        <w:rPr>
          <w:rFonts w:ascii="Times New Roman" w:hAnsi="Times New Roman" w:cs="Times New Roman"/>
          <w:sz w:val="24"/>
          <w:szCs w:val="24"/>
        </w:rPr>
      </w:pPr>
      <w:r w:rsidRPr="006B2410">
        <w:rPr>
          <w:rFonts w:ascii="Times New Roman" w:hAnsi="Times New Roman" w:cs="Times New Roman"/>
          <w:i/>
          <w:sz w:val="24"/>
          <w:szCs w:val="24"/>
        </w:rPr>
        <w:t xml:space="preserve">D Tivadar, </w:t>
      </w:r>
      <w:r w:rsidRPr="006B2410">
        <w:rPr>
          <w:rFonts w:ascii="Times New Roman" w:hAnsi="Times New Roman" w:cs="Times New Roman"/>
          <w:sz w:val="24"/>
          <w:szCs w:val="24"/>
        </w:rPr>
        <w:t>for the appellant</w:t>
      </w:r>
    </w:p>
    <w:p w:rsidR="00810332" w:rsidRDefault="00810332" w:rsidP="00BC338F">
      <w:pPr>
        <w:spacing w:after="0" w:line="240" w:lineRule="auto"/>
        <w:jc w:val="both"/>
        <w:rPr>
          <w:rFonts w:ascii="Times New Roman" w:hAnsi="Times New Roman" w:cs="Times New Roman"/>
          <w:sz w:val="24"/>
          <w:szCs w:val="24"/>
        </w:rPr>
      </w:pPr>
      <w:r w:rsidRPr="006B2410">
        <w:rPr>
          <w:rFonts w:ascii="Times New Roman" w:hAnsi="Times New Roman" w:cs="Times New Roman"/>
          <w:i/>
          <w:sz w:val="24"/>
          <w:szCs w:val="24"/>
        </w:rPr>
        <w:t xml:space="preserve">T Magwaliba, </w:t>
      </w:r>
      <w:r w:rsidRPr="006B2410">
        <w:rPr>
          <w:rFonts w:ascii="Times New Roman" w:hAnsi="Times New Roman" w:cs="Times New Roman"/>
          <w:sz w:val="24"/>
          <w:szCs w:val="24"/>
        </w:rPr>
        <w:t>for the respondent</w:t>
      </w:r>
    </w:p>
    <w:p w:rsidR="00BC338F" w:rsidRDefault="00BC338F" w:rsidP="00BC338F">
      <w:pPr>
        <w:spacing w:after="0" w:line="240" w:lineRule="auto"/>
        <w:jc w:val="both"/>
        <w:rPr>
          <w:rFonts w:ascii="Times New Roman" w:hAnsi="Times New Roman" w:cs="Times New Roman"/>
          <w:sz w:val="24"/>
          <w:szCs w:val="24"/>
        </w:rPr>
      </w:pPr>
    </w:p>
    <w:p w:rsidR="00BC338F" w:rsidRPr="006B2410" w:rsidRDefault="00BC338F" w:rsidP="00BC338F">
      <w:pPr>
        <w:spacing w:after="0" w:line="240" w:lineRule="auto"/>
        <w:jc w:val="both"/>
        <w:rPr>
          <w:rFonts w:ascii="Times New Roman" w:hAnsi="Times New Roman" w:cs="Times New Roman"/>
          <w:sz w:val="24"/>
          <w:szCs w:val="24"/>
        </w:rPr>
      </w:pPr>
    </w:p>
    <w:p w:rsidR="00810332" w:rsidRPr="006B2410" w:rsidRDefault="00BC338F" w:rsidP="00BC338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KUDYA J: </w:t>
      </w:r>
      <w:r w:rsidR="00810332" w:rsidRPr="006B2410">
        <w:rPr>
          <w:rFonts w:ascii="Times New Roman" w:hAnsi="Times New Roman" w:cs="Times New Roman"/>
          <w:sz w:val="24"/>
          <w:szCs w:val="24"/>
        </w:rPr>
        <w:t xml:space="preserve">The two appeals in question were consolidated by consent </w:t>
      </w:r>
      <w:r w:rsidR="00EA3CF8" w:rsidRPr="006B2410">
        <w:rPr>
          <w:rFonts w:ascii="Times New Roman" w:hAnsi="Times New Roman" w:cs="Times New Roman"/>
          <w:sz w:val="24"/>
          <w:szCs w:val="24"/>
        </w:rPr>
        <w:t xml:space="preserve">on 20 September 2017 </w:t>
      </w:r>
      <w:r w:rsidR="00810332" w:rsidRPr="006B2410">
        <w:rPr>
          <w:rFonts w:ascii="Times New Roman" w:hAnsi="Times New Roman" w:cs="Times New Roman"/>
          <w:sz w:val="24"/>
          <w:szCs w:val="24"/>
        </w:rPr>
        <w:t xml:space="preserve">because </w:t>
      </w:r>
      <w:r w:rsidR="00D45B8A" w:rsidRPr="006B2410">
        <w:rPr>
          <w:rFonts w:ascii="Times New Roman" w:hAnsi="Times New Roman" w:cs="Times New Roman"/>
          <w:sz w:val="24"/>
          <w:szCs w:val="24"/>
        </w:rPr>
        <w:t xml:space="preserve">it was convenient to do so as </w:t>
      </w:r>
      <w:r w:rsidR="00810332" w:rsidRPr="006B2410">
        <w:rPr>
          <w:rFonts w:ascii="Times New Roman" w:hAnsi="Times New Roman" w:cs="Times New Roman"/>
          <w:sz w:val="24"/>
          <w:szCs w:val="24"/>
        </w:rPr>
        <w:t>they</w:t>
      </w:r>
      <w:r w:rsidR="00D45B8A" w:rsidRPr="006B2410">
        <w:rPr>
          <w:rFonts w:ascii="Times New Roman" w:hAnsi="Times New Roman" w:cs="Times New Roman"/>
          <w:sz w:val="24"/>
          <w:szCs w:val="24"/>
        </w:rPr>
        <w:t xml:space="preserve"> involved the same parties and an overlap of the issues. </w:t>
      </w:r>
      <w:r w:rsidR="00510992" w:rsidRPr="006B2410">
        <w:rPr>
          <w:rFonts w:ascii="Times New Roman" w:hAnsi="Times New Roman" w:cs="Times New Roman"/>
          <w:sz w:val="24"/>
          <w:szCs w:val="24"/>
        </w:rPr>
        <w:t xml:space="preserve">At the appeal hearing, the appellant called the evidence of two witnesses, SHR, </w:t>
      </w:r>
      <w:r w:rsidR="00663764" w:rsidRPr="006B2410">
        <w:rPr>
          <w:rFonts w:ascii="Times New Roman" w:hAnsi="Times New Roman" w:cs="Times New Roman"/>
          <w:sz w:val="24"/>
          <w:szCs w:val="24"/>
        </w:rPr>
        <w:t xml:space="preserve">a quantity surveyor and </w:t>
      </w:r>
      <w:r w:rsidR="00510992" w:rsidRPr="006B2410">
        <w:rPr>
          <w:rFonts w:ascii="Times New Roman" w:hAnsi="Times New Roman" w:cs="Times New Roman"/>
          <w:sz w:val="24"/>
          <w:szCs w:val="24"/>
        </w:rPr>
        <w:t xml:space="preserve">its head of Commercial Inland and MPWF, </w:t>
      </w:r>
      <w:r w:rsidR="00663764" w:rsidRPr="006B2410">
        <w:rPr>
          <w:rFonts w:ascii="Times New Roman" w:hAnsi="Times New Roman" w:cs="Times New Roman"/>
          <w:sz w:val="24"/>
          <w:szCs w:val="24"/>
        </w:rPr>
        <w:t xml:space="preserve">a chartered accountant and </w:t>
      </w:r>
      <w:r w:rsidR="00510992" w:rsidRPr="006B2410">
        <w:rPr>
          <w:rFonts w:ascii="Times New Roman" w:hAnsi="Times New Roman" w:cs="Times New Roman"/>
          <w:sz w:val="24"/>
          <w:szCs w:val="24"/>
        </w:rPr>
        <w:t>its head of Corporate and Business Structuring.  It further relied on exhibit 1, a graph produced by the first witness and the pleadings filed of record. The respondent did not call any oral evidence but sought to rely on the pleadings</w:t>
      </w:r>
      <w:r w:rsidR="00A60C48" w:rsidRPr="006B2410">
        <w:rPr>
          <w:rFonts w:ascii="Times New Roman" w:hAnsi="Times New Roman" w:cs="Times New Roman"/>
          <w:sz w:val="24"/>
          <w:szCs w:val="24"/>
        </w:rPr>
        <w:t xml:space="preserve"> filed of record.</w:t>
      </w:r>
    </w:p>
    <w:p w:rsidR="00757946" w:rsidRPr="006B2410" w:rsidRDefault="00757946" w:rsidP="00810332">
      <w:pPr>
        <w:jc w:val="both"/>
        <w:rPr>
          <w:rFonts w:ascii="Times New Roman" w:hAnsi="Times New Roman" w:cs="Times New Roman"/>
          <w:sz w:val="24"/>
          <w:szCs w:val="24"/>
          <w:u w:val="single"/>
        </w:rPr>
      </w:pPr>
      <w:r w:rsidRPr="006B2410">
        <w:rPr>
          <w:rFonts w:ascii="Times New Roman" w:hAnsi="Times New Roman" w:cs="Times New Roman"/>
          <w:sz w:val="24"/>
          <w:szCs w:val="24"/>
          <w:u w:val="single"/>
        </w:rPr>
        <w:t>The background</w:t>
      </w:r>
    </w:p>
    <w:p w:rsidR="006F6692" w:rsidRPr="006B2410" w:rsidRDefault="00757946" w:rsidP="00BC338F">
      <w:pPr>
        <w:spacing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background giving rise to these appeals </w:t>
      </w:r>
      <w:r w:rsidR="00CC4B11" w:rsidRPr="006B2410">
        <w:rPr>
          <w:rFonts w:ascii="Times New Roman" w:hAnsi="Times New Roman" w:cs="Times New Roman"/>
          <w:sz w:val="24"/>
          <w:szCs w:val="24"/>
        </w:rPr>
        <w:t xml:space="preserve">predated the registration of </w:t>
      </w:r>
      <w:r w:rsidR="00AD2AF6" w:rsidRPr="006B2410">
        <w:rPr>
          <w:rFonts w:ascii="Times New Roman" w:hAnsi="Times New Roman" w:cs="Times New Roman"/>
          <w:sz w:val="24"/>
          <w:szCs w:val="24"/>
        </w:rPr>
        <w:t>the appellant</w:t>
      </w:r>
      <w:r w:rsidRPr="006B2410">
        <w:rPr>
          <w:rFonts w:ascii="Times New Roman" w:hAnsi="Times New Roman" w:cs="Times New Roman"/>
          <w:sz w:val="24"/>
          <w:szCs w:val="24"/>
        </w:rPr>
        <w:t xml:space="preserve"> </w:t>
      </w:r>
      <w:r w:rsidR="006F6692" w:rsidRPr="006B2410">
        <w:rPr>
          <w:rFonts w:ascii="Times New Roman" w:hAnsi="Times New Roman" w:cs="Times New Roman"/>
          <w:sz w:val="24"/>
          <w:szCs w:val="24"/>
        </w:rPr>
        <w:t xml:space="preserve">on 18 January 2011 </w:t>
      </w:r>
      <w:r w:rsidRPr="006B2410">
        <w:rPr>
          <w:rFonts w:ascii="Times New Roman" w:hAnsi="Times New Roman" w:cs="Times New Roman"/>
          <w:sz w:val="24"/>
          <w:szCs w:val="24"/>
        </w:rPr>
        <w:t xml:space="preserve">as a </w:t>
      </w:r>
      <w:r w:rsidR="00B27D98" w:rsidRPr="006B2410">
        <w:rPr>
          <w:rFonts w:ascii="Times New Roman" w:hAnsi="Times New Roman" w:cs="Times New Roman"/>
          <w:sz w:val="24"/>
          <w:szCs w:val="24"/>
        </w:rPr>
        <w:t>Zimbabwean br</w:t>
      </w:r>
      <w:r w:rsidR="006F6692" w:rsidRPr="006B2410">
        <w:rPr>
          <w:rFonts w:ascii="Times New Roman" w:hAnsi="Times New Roman" w:cs="Times New Roman"/>
          <w:sz w:val="24"/>
          <w:szCs w:val="24"/>
        </w:rPr>
        <w:t>anch of its Mauritian incorporated</w:t>
      </w:r>
      <w:r w:rsidR="00AD2AF6" w:rsidRPr="006B2410">
        <w:rPr>
          <w:rFonts w:ascii="Times New Roman" w:hAnsi="Times New Roman" w:cs="Times New Roman"/>
          <w:sz w:val="24"/>
          <w:szCs w:val="24"/>
        </w:rPr>
        <w:t xml:space="preserve"> parent </w:t>
      </w:r>
      <w:r w:rsidR="00B27D98" w:rsidRPr="006B2410">
        <w:rPr>
          <w:rFonts w:ascii="Times New Roman" w:hAnsi="Times New Roman" w:cs="Times New Roman"/>
          <w:sz w:val="24"/>
          <w:szCs w:val="24"/>
        </w:rPr>
        <w:t>company</w:t>
      </w:r>
      <w:r w:rsidR="000F7A64" w:rsidRPr="006B2410">
        <w:rPr>
          <w:rFonts w:ascii="Times New Roman" w:hAnsi="Times New Roman" w:cs="Times New Roman"/>
          <w:sz w:val="24"/>
          <w:szCs w:val="24"/>
        </w:rPr>
        <w:t xml:space="preserve">, Mauritius, </w:t>
      </w:r>
      <w:r w:rsidR="006F6692" w:rsidRPr="006B2410">
        <w:rPr>
          <w:rFonts w:ascii="Times New Roman" w:hAnsi="Times New Roman" w:cs="Times New Roman"/>
          <w:sz w:val="24"/>
          <w:szCs w:val="24"/>
        </w:rPr>
        <w:t xml:space="preserve">by the Registrar of Companies </w:t>
      </w:r>
      <w:r w:rsidRPr="006B2410">
        <w:rPr>
          <w:rFonts w:ascii="Times New Roman" w:hAnsi="Times New Roman" w:cs="Times New Roman"/>
          <w:sz w:val="24"/>
          <w:szCs w:val="24"/>
        </w:rPr>
        <w:t>in Zimbabwe in terms of s 330 of the Companies Act [</w:t>
      </w:r>
      <w:r w:rsidR="00BA0811" w:rsidRPr="006B2410">
        <w:rPr>
          <w:rFonts w:ascii="Times New Roman" w:hAnsi="Times New Roman" w:cs="Times New Roman"/>
          <w:i/>
          <w:sz w:val="24"/>
          <w:szCs w:val="24"/>
        </w:rPr>
        <w:t>Chapter 24:03]</w:t>
      </w:r>
      <w:r w:rsidR="00B27D98" w:rsidRPr="006B2410">
        <w:rPr>
          <w:rFonts w:ascii="Times New Roman" w:hAnsi="Times New Roman" w:cs="Times New Roman"/>
          <w:i/>
          <w:sz w:val="24"/>
          <w:szCs w:val="24"/>
        </w:rPr>
        <w:t xml:space="preserve">. </w:t>
      </w:r>
      <w:r w:rsidR="000F7A64" w:rsidRPr="006B2410">
        <w:rPr>
          <w:rFonts w:ascii="Times New Roman" w:hAnsi="Times New Roman" w:cs="Times New Roman"/>
          <w:sz w:val="24"/>
          <w:szCs w:val="24"/>
        </w:rPr>
        <w:t xml:space="preserve">Mauritius was a wholly owned subsidiary of a South African registered company, South Africa. </w:t>
      </w:r>
      <w:r w:rsidR="00B27D98" w:rsidRPr="006B2410">
        <w:rPr>
          <w:rFonts w:ascii="Times New Roman" w:hAnsi="Times New Roman" w:cs="Times New Roman"/>
          <w:sz w:val="24"/>
          <w:szCs w:val="24"/>
        </w:rPr>
        <w:t xml:space="preserve">The effect of </w:t>
      </w:r>
      <w:r w:rsidR="000F7A64" w:rsidRPr="006B2410">
        <w:rPr>
          <w:rFonts w:ascii="Times New Roman" w:hAnsi="Times New Roman" w:cs="Times New Roman"/>
          <w:sz w:val="24"/>
          <w:szCs w:val="24"/>
        </w:rPr>
        <w:t>registration as a branch was</w:t>
      </w:r>
      <w:r w:rsidR="000F7A64" w:rsidRPr="006B2410">
        <w:rPr>
          <w:rFonts w:ascii="Times New Roman" w:hAnsi="Times New Roman" w:cs="Times New Roman"/>
          <w:i/>
          <w:sz w:val="24"/>
          <w:szCs w:val="24"/>
        </w:rPr>
        <w:t xml:space="preserve"> </w:t>
      </w:r>
      <w:r w:rsidR="00B27D98" w:rsidRPr="006B2410">
        <w:rPr>
          <w:rFonts w:ascii="Times New Roman" w:hAnsi="Times New Roman" w:cs="Times New Roman"/>
          <w:sz w:val="24"/>
          <w:szCs w:val="24"/>
        </w:rPr>
        <w:t xml:space="preserve">that </w:t>
      </w:r>
      <w:r w:rsidR="000F7A64" w:rsidRPr="006B2410">
        <w:rPr>
          <w:rFonts w:ascii="Times New Roman" w:hAnsi="Times New Roman" w:cs="Times New Roman"/>
          <w:sz w:val="24"/>
          <w:szCs w:val="24"/>
        </w:rPr>
        <w:t xml:space="preserve">the appellant </w:t>
      </w:r>
      <w:r w:rsidR="00B27D98" w:rsidRPr="006B2410">
        <w:rPr>
          <w:rFonts w:ascii="Times New Roman" w:hAnsi="Times New Roman" w:cs="Times New Roman"/>
          <w:sz w:val="24"/>
          <w:szCs w:val="24"/>
        </w:rPr>
        <w:t>was treated as a separate entity from its parent company and was</w:t>
      </w:r>
      <w:r w:rsidR="000F7A64" w:rsidRPr="006B2410">
        <w:rPr>
          <w:rFonts w:ascii="Times New Roman" w:hAnsi="Times New Roman" w:cs="Times New Roman"/>
          <w:sz w:val="24"/>
          <w:szCs w:val="24"/>
        </w:rPr>
        <w:t>,</w:t>
      </w:r>
      <w:r w:rsidR="00B27D98" w:rsidRPr="006B2410">
        <w:rPr>
          <w:rFonts w:ascii="Times New Roman" w:hAnsi="Times New Roman" w:cs="Times New Roman"/>
          <w:i/>
          <w:sz w:val="24"/>
          <w:szCs w:val="24"/>
        </w:rPr>
        <w:t xml:space="preserve"> </w:t>
      </w:r>
      <w:r w:rsidR="000F7A64" w:rsidRPr="006B2410">
        <w:rPr>
          <w:rFonts w:ascii="Times New Roman" w:hAnsi="Times New Roman" w:cs="Times New Roman"/>
          <w:i/>
          <w:sz w:val="24"/>
          <w:szCs w:val="24"/>
        </w:rPr>
        <w:t xml:space="preserve">inter alia, </w:t>
      </w:r>
      <w:r w:rsidR="00B27D98" w:rsidRPr="006B2410">
        <w:rPr>
          <w:rFonts w:ascii="Times New Roman" w:hAnsi="Times New Roman" w:cs="Times New Roman"/>
          <w:sz w:val="24"/>
          <w:szCs w:val="24"/>
        </w:rPr>
        <w:t xml:space="preserve">required under Zimbabwean law to prepare </w:t>
      </w:r>
      <w:r w:rsidR="000F7A64" w:rsidRPr="006B2410">
        <w:rPr>
          <w:rFonts w:ascii="Times New Roman" w:hAnsi="Times New Roman" w:cs="Times New Roman"/>
          <w:sz w:val="24"/>
          <w:szCs w:val="24"/>
        </w:rPr>
        <w:t xml:space="preserve">and file </w:t>
      </w:r>
      <w:r w:rsidR="00B27D98" w:rsidRPr="006B2410">
        <w:rPr>
          <w:rFonts w:ascii="Times New Roman" w:hAnsi="Times New Roman" w:cs="Times New Roman"/>
          <w:sz w:val="24"/>
          <w:szCs w:val="24"/>
        </w:rPr>
        <w:t>its own financia</w:t>
      </w:r>
      <w:r w:rsidR="00CC4B11" w:rsidRPr="006B2410">
        <w:rPr>
          <w:rFonts w:ascii="Times New Roman" w:hAnsi="Times New Roman" w:cs="Times New Roman"/>
          <w:sz w:val="24"/>
          <w:szCs w:val="24"/>
        </w:rPr>
        <w:t>l statements and tax returns</w:t>
      </w:r>
      <w:r w:rsidR="00B27D98" w:rsidRPr="006B2410">
        <w:rPr>
          <w:rFonts w:ascii="Times New Roman" w:hAnsi="Times New Roman" w:cs="Times New Roman"/>
          <w:sz w:val="24"/>
          <w:szCs w:val="24"/>
        </w:rPr>
        <w:t xml:space="preserve">. </w:t>
      </w:r>
    </w:p>
    <w:p w:rsidR="00E765CA" w:rsidRPr="006B2410" w:rsidRDefault="00E765CA" w:rsidP="00810332">
      <w:pPr>
        <w:jc w:val="both"/>
        <w:rPr>
          <w:rFonts w:ascii="Times New Roman" w:hAnsi="Times New Roman" w:cs="Times New Roman"/>
          <w:i/>
          <w:sz w:val="24"/>
          <w:szCs w:val="24"/>
        </w:rPr>
      </w:pPr>
      <w:r w:rsidRPr="006B2410">
        <w:rPr>
          <w:rFonts w:ascii="Times New Roman" w:hAnsi="Times New Roman" w:cs="Times New Roman"/>
          <w:i/>
          <w:sz w:val="24"/>
          <w:szCs w:val="24"/>
        </w:rPr>
        <w:t>The Contract Agreement</w:t>
      </w:r>
    </w:p>
    <w:p w:rsidR="00111943" w:rsidRPr="006B2410" w:rsidRDefault="000F7A64"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lastRenderedPageBreak/>
        <w:t>According to a letter dated 16 August 2010</w:t>
      </w:r>
      <w:r w:rsidR="00B83865" w:rsidRPr="006B2410">
        <w:rPr>
          <w:rStyle w:val="FootnoteReference"/>
          <w:rFonts w:ascii="Times New Roman" w:hAnsi="Times New Roman" w:cs="Times New Roman"/>
          <w:sz w:val="24"/>
          <w:szCs w:val="24"/>
        </w:rPr>
        <w:footnoteReference w:id="1"/>
      </w:r>
      <w:r w:rsidR="00B83865" w:rsidRPr="006B2410">
        <w:rPr>
          <w:rFonts w:ascii="Times New Roman" w:hAnsi="Times New Roman" w:cs="Times New Roman"/>
          <w:sz w:val="24"/>
          <w:szCs w:val="24"/>
        </w:rPr>
        <w:t xml:space="preserve">, </w:t>
      </w:r>
      <w:r w:rsidR="00AD2AF6" w:rsidRPr="006B2410">
        <w:rPr>
          <w:rFonts w:ascii="Times New Roman" w:hAnsi="Times New Roman" w:cs="Times New Roman"/>
          <w:sz w:val="24"/>
          <w:szCs w:val="24"/>
        </w:rPr>
        <w:t>the initial parties to the Works for the Zimbabwean Roads Upgrade Phase 1</w:t>
      </w:r>
      <w:r w:rsidR="000D6BDD" w:rsidRPr="006B2410">
        <w:rPr>
          <w:rFonts w:ascii="Times New Roman" w:hAnsi="Times New Roman" w:cs="Times New Roman"/>
          <w:sz w:val="24"/>
          <w:szCs w:val="24"/>
        </w:rPr>
        <w:t>, the Project,</w:t>
      </w:r>
      <w:r w:rsidR="00AD2AF6" w:rsidRPr="006B2410">
        <w:rPr>
          <w:rFonts w:ascii="Times New Roman" w:hAnsi="Times New Roman" w:cs="Times New Roman"/>
          <w:sz w:val="24"/>
          <w:szCs w:val="24"/>
        </w:rPr>
        <w:t xml:space="preserve"> were the Zimbabwe National Road Administration, ZINARA, and the parent company</w:t>
      </w:r>
      <w:r w:rsidR="00AB10A5" w:rsidRPr="006B2410">
        <w:rPr>
          <w:rFonts w:ascii="Times New Roman" w:hAnsi="Times New Roman" w:cs="Times New Roman"/>
          <w:sz w:val="24"/>
          <w:szCs w:val="24"/>
        </w:rPr>
        <w:t>, Mauritius</w:t>
      </w:r>
      <w:r w:rsidR="00AD2AF6" w:rsidRPr="006B2410">
        <w:rPr>
          <w:rFonts w:ascii="Times New Roman" w:hAnsi="Times New Roman" w:cs="Times New Roman"/>
          <w:sz w:val="24"/>
          <w:szCs w:val="24"/>
        </w:rPr>
        <w:t>.</w:t>
      </w:r>
      <w:r w:rsidRPr="006B2410">
        <w:rPr>
          <w:rFonts w:ascii="Times New Roman" w:hAnsi="Times New Roman" w:cs="Times New Roman"/>
          <w:sz w:val="24"/>
          <w:szCs w:val="24"/>
        </w:rPr>
        <w:t xml:space="preserve"> </w:t>
      </w:r>
      <w:r w:rsidR="000D6BDD" w:rsidRPr="006B2410">
        <w:rPr>
          <w:rFonts w:ascii="Times New Roman" w:hAnsi="Times New Roman" w:cs="Times New Roman"/>
          <w:sz w:val="24"/>
          <w:szCs w:val="24"/>
        </w:rPr>
        <w:t>However, on 4 August 2011 the appellant executed an agreement</w:t>
      </w:r>
      <w:r w:rsidR="008936B9" w:rsidRPr="006B2410">
        <w:rPr>
          <w:rFonts w:ascii="Times New Roman" w:hAnsi="Times New Roman" w:cs="Times New Roman"/>
          <w:sz w:val="24"/>
          <w:szCs w:val="24"/>
        </w:rPr>
        <w:t>, the Contract Agreement,</w:t>
      </w:r>
      <w:r w:rsidR="005A66A7" w:rsidRPr="006B2410">
        <w:rPr>
          <w:rFonts w:ascii="Times New Roman" w:hAnsi="Times New Roman" w:cs="Times New Roman"/>
          <w:sz w:val="24"/>
          <w:szCs w:val="24"/>
        </w:rPr>
        <w:t xml:space="preserve"> in which it was identified as the Contractor,</w:t>
      </w:r>
      <w:r w:rsidR="000D6BDD" w:rsidRPr="006B2410">
        <w:rPr>
          <w:rFonts w:ascii="Times New Roman" w:hAnsi="Times New Roman" w:cs="Times New Roman"/>
          <w:sz w:val="24"/>
          <w:szCs w:val="24"/>
        </w:rPr>
        <w:t xml:space="preserve"> with a local pr</w:t>
      </w:r>
      <w:r w:rsidR="00AB10A5" w:rsidRPr="006B2410">
        <w:rPr>
          <w:rFonts w:ascii="Times New Roman" w:hAnsi="Times New Roman" w:cs="Times New Roman"/>
          <w:sz w:val="24"/>
          <w:szCs w:val="24"/>
        </w:rPr>
        <w:t>ivate company</w:t>
      </w:r>
      <w:r w:rsidR="00BE6075" w:rsidRPr="006B2410">
        <w:rPr>
          <w:rFonts w:ascii="Times New Roman" w:hAnsi="Times New Roman" w:cs="Times New Roman"/>
          <w:sz w:val="24"/>
          <w:szCs w:val="24"/>
        </w:rPr>
        <w:t xml:space="preserve"> identified interchangeably as the Employer or Client</w:t>
      </w:r>
      <w:r w:rsidR="00AB10A5" w:rsidRPr="006B2410">
        <w:rPr>
          <w:rFonts w:ascii="Times New Roman" w:hAnsi="Times New Roman" w:cs="Times New Roman"/>
          <w:sz w:val="24"/>
          <w:szCs w:val="24"/>
        </w:rPr>
        <w:t xml:space="preserve"> for the design,</w:t>
      </w:r>
      <w:r w:rsidR="000D6BDD" w:rsidRPr="006B2410">
        <w:rPr>
          <w:rFonts w:ascii="Times New Roman" w:hAnsi="Times New Roman" w:cs="Times New Roman"/>
          <w:sz w:val="24"/>
          <w:szCs w:val="24"/>
        </w:rPr>
        <w:t xml:space="preserve"> execution </w:t>
      </w:r>
      <w:r w:rsidR="00AB10A5" w:rsidRPr="006B2410">
        <w:rPr>
          <w:rFonts w:ascii="Times New Roman" w:hAnsi="Times New Roman" w:cs="Times New Roman"/>
          <w:sz w:val="24"/>
          <w:szCs w:val="24"/>
        </w:rPr>
        <w:t xml:space="preserve">and completion </w:t>
      </w:r>
      <w:r w:rsidR="000D6BDD" w:rsidRPr="006B2410">
        <w:rPr>
          <w:rFonts w:ascii="Times New Roman" w:hAnsi="Times New Roman" w:cs="Times New Roman"/>
          <w:sz w:val="24"/>
          <w:szCs w:val="24"/>
        </w:rPr>
        <w:t xml:space="preserve">of the Project. </w:t>
      </w:r>
      <w:r w:rsidR="00E765CA" w:rsidRPr="006B2410">
        <w:rPr>
          <w:rFonts w:ascii="Times New Roman" w:hAnsi="Times New Roman" w:cs="Times New Roman"/>
          <w:sz w:val="24"/>
          <w:szCs w:val="24"/>
        </w:rPr>
        <w:t>The appellant was represented by the first witness, SHR</w:t>
      </w:r>
      <w:r w:rsidR="001B28E3" w:rsidRPr="006B2410">
        <w:rPr>
          <w:rFonts w:ascii="Times New Roman" w:hAnsi="Times New Roman" w:cs="Times New Roman"/>
          <w:sz w:val="24"/>
          <w:szCs w:val="24"/>
        </w:rPr>
        <w:t>,</w:t>
      </w:r>
      <w:r w:rsidR="00E765CA" w:rsidRPr="006B2410">
        <w:rPr>
          <w:rFonts w:ascii="Times New Roman" w:hAnsi="Times New Roman" w:cs="Times New Roman"/>
          <w:sz w:val="24"/>
          <w:szCs w:val="24"/>
        </w:rPr>
        <w:t xml:space="preserve"> while the other party</w:t>
      </w:r>
      <w:r w:rsidR="00BE6075" w:rsidRPr="006B2410">
        <w:rPr>
          <w:rFonts w:ascii="Times New Roman" w:hAnsi="Times New Roman" w:cs="Times New Roman"/>
          <w:sz w:val="24"/>
          <w:szCs w:val="24"/>
        </w:rPr>
        <w:t>, the Employer</w:t>
      </w:r>
      <w:r w:rsidR="00E765CA" w:rsidRPr="006B2410">
        <w:rPr>
          <w:rFonts w:ascii="Times New Roman" w:hAnsi="Times New Roman" w:cs="Times New Roman"/>
          <w:sz w:val="24"/>
          <w:szCs w:val="24"/>
        </w:rPr>
        <w:t xml:space="preserve"> was represented by </w:t>
      </w:r>
      <w:r w:rsidR="005F393D" w:rsidRPr="006B2410">
        <w:rPr>
          <w:rFonts w:ascii="Times New Roman" w:hAnsi="Times New Roman" w:cs="Times New Roman"/>
          <w:sz w:val="24"/>
          <w:szCs w:val="24"/>
        </w:rPr>
        <w:t xml:space="preserve">FC, </w:t>
      </w:r>
      <w:r w:rsidR="00E765CA" w:rsidRPr="006B2410">
        <w:rPr>
          <w:rFonts w:ascii="Times New Roman" w:hAnsi="Times New Roman" w:cs="Times New Roman"/>
          <w:sz w:val="24"/>
          <w:szCs w:val="24"/>
        </w:rPr>
        <w:t xml:space="preserve">its Chief Executive Officer. </w:t>
      </w:r>
      <w:r w:rsidR="006C7837" w:rsidRPr="006B2410">
        <w:rPr>
          <w:rFonts w:ascii="Times New Roman" w:hAnsi="Times New Roman" w:cs="Times New Roman"/>
          <w:sz w:val="24"/>
          <w:szCs w:val="24"/>
        </w:rPr>
        <w:t xml:space="preserve">It is, I think, important to underscore what the contract entailed. </w:t>
      </w:r>
      <w:r w:rsidR="002D7F42" w:rsidRPr="006B2410">
        <w:rPr>
          <w:rFonts w:ascii="Times New Roman" w:hAnsi="Times New Roman" w:cs="Times New Roman"/>
          <w:sz w:val="24"/>
          <w:szCs w:val="24"/>
        </w:rPr>
        <w:t xml:space="preserve">It was </w:t>
      </w:r>
      <w:r w:rsidR="00E765CA" w:rsidRPr="006B2410">
        <w:rPr>
          <w:rFonts w:ascii="Times New Roman" w:hAnsi="Times New Roman" w:cs="Times New Roman"/>
          <w:sz w:val="24"/>
          <w:szCs w:val="24"/>
        </w:rPr>
        <w:t xml:space="preserve">concerned with </w:t>
      </w:r>
      <w:r w:rsidR="002D7F42" w:rsidRPr="006B2410">
        <w:rPr>
          <w:rFonts w:ascii="Times New Roman" w:hAnsi="Times New Roman" w:cs="Times New Roman"/>
          <w:sz w:val="24"/>
          <w:szCs w:val="24"/>
        </w:rPr>
        <w:t xml:space="preserve">“the </w:t>
      </w:r>
      <w:r w:rsidR="00111943" w:rsidRPr="006B2410">
        <w:rPr>
          <w:rFonts w:ascii="Times New Roman" w:hAnsi="Times New Roman" w:cs="Times New Roman"/>
          <w:sz w:val="24"/>
          <w:szCs w:val="24"/>
        </w:rPr>
        <w:t>Works for the Zimbabwe Roads Upgrade Phase 1 and the remedyi</w:t>
      </w:r>
      <w:r w:rsidR="00B83865" w:rsidRPr="006B2410">
        <w:rPr>
          <w:rFonts w:ascii="Times New Roman" w:hAnsi="Times New Roman" w:cs="Times New Roman"/>
          <w:sz w:val="24"/>
          <w:szCs w:val="24"/>
        </w:rPr>
        <w:t>ng of any defects”</w:t>
      </w:r>
      <w:r w:rsidR="00111943" w:rsidRPr="006B2410">
        <w:rPr>
          <w:rFonts w:ascii="Times New Roman" w:hAnsi="Times New Roman" w:cs="Times New Roman"/>
          <w:sz w:val="24"/>
          <w:szCs w:val="24"/>
        </w:rPr>
        <w:t xml:space="preserve"> described in the </w:t>
      </w:r>
      <w:r w:rsidR="00B83865" w:rsidRPr="006B2410">
        <w:rPr>
          <w:rFonts w:ascii="Times New Roman" w:hAnsi="Times New Roman" w:cs="Times New Roman"/>
          <w:sz w:val="24"/>
          <w:szCs w:val="24"/>
        </w:rPr>
        <w:t>“</w:t>
      </w:r>
      <w:r w:rsidR="00111943" w:rsidRPr="006B2410">
        <w:rPr>
          <w:rFonts w:ascii="Times New Roman" w:hAnsi="Times New Roman" w:cs="Times New Roman"/>
          <w:sz w:val="24"/>
          <w:szCs w:val="24"/>
        </w:rPr>
        <w:t>Contract a</w:t>
      </w:r>
      <w:r w:rsidR="00E765CA" w:rsidRPr="006B2410">
        <w:rPr>
          <w:rFonts w:ascii="Times New Roman" w:hAnsi="Times New Roman" w:cs="Times New Roman"/>
          <w:sz w:val="24"/>
          <w:szCs w:val="24"/>
        </w:rPr>
        <w:t>nd the Employers’ Requirements</w:t>
      </w:r>
      <w:r w:rsidR="00B83865" w:rsidRPr="006B2410">
        <w:rPr>
          <w:rFonts w:ascii="Times New Roman" w:hAnsi="Times New Roman" w:cs="Times New Roman"/>
          <w:sz w:val="24"/>
          <w:szCs w:val="24"/>
        </w:rPr>
        <w:t>”</w:t>
      </w:r>
      <w:r w:rsidR="00E765CA" w:rsidRPr="006B2410">
        <w:rPr>
          <w:rFonts w:ascii="Times New Roman" w:hAnsi="Times New Roman" w:cs="Times New Roman"/>
          <w:sz w:val="24"/>
          <w:szCs w:val="24"/>
        </w:rPr>
        <w:t xml:space="preserve">, which </w:t>
      </w:r>
      <w:r w:rsidR="00111943" w:rsidRPr="006B2410">
        <w:rPr>
          <w:rFonts w:ascii="Times New Roman" w:hAnsi="Times New Roman" w:cs="Times New Roman"/>
          <w:sz w:val="24"/>
          <w:szCs w:val="24"/>
        </w:rPr>
        <w:t xml:space="preserve">specified </w:t>
      </w:r>
      <w:r w:rsidR="00C443CC" w:rsidRPr="006B2410">
        <w:rPr>
          <w:rFonts w:ascii="Times New Roman" w:hAnsi="Times New Roman" w:cs="Times New Roman"/>
          <w:sz w:val="24"/>
          <w:szCs w:val="24"/>
        </w:rPr>
        <w:t xml:space="preserve">the </w:t>
      </w:r>
      <w:r w:rsidR="00111943" w:rsidRPr="006B2410">
        <w:rPr>
          <w:rFonts w:ascii="Times New Roman" w:hAnsi="Times New Roman" w:cs="Times New Roman"/>
          <w:sz w:val="24"/>
          <w:szCs w:val="24"/>
        </w:rPr>
        <w:t>purpose, scope, design, and other</w:t>
      </w:r>
      <w:r w:rsidR="00E765CA" w:rsidRPr="006B2410">
        <w:rPr>
          <w:rFonts w:ascii="Times New Roman" w:hAnsi="Times New Roman" w:cs="Times New Roman"/>
          <w:sz w:val="24"/>
          <w:szCs w:val="24"/>
        </w:rPr>
        <w:t xml:space="preserve"> technical criteria for the Works. </w:t>
      </w:r>
      <w:r w:rsidR="00111943" w:rsidRPr="006B2410">
        <w:rPr>
          <w:rFonts w:ascii="Times New Roman" w:hAnsi="Times New Roman" w:cs="Times New Roman"/>
          <w:sz w:val="24"/>
          <w:szCs w:val="24"/>
        </w:rPr>
        <w:t>The conditions</w:t>
      </w:r>
      <w:r w:rsidR="00C443CC" w:rsidRPr="006B2410">
        <w:rPr>
          <w:rFonts w:ascii="Times New Roman" w:hAnsi="Times New Roman" w:cs="Times New Roman"/>
          <w:sz w:val="24"/>
          <w:szCs w:val="24"/>
        </w:rPr>
        <w:t xml:space="preserve"> of the contract comprised the “</w:t>
      </w:r>
      <w:r w:rsidR="00111943" w:rsidRPr="006B2410">
        <w:rPr>
          <w:rFonts w:ascii="Times New Roman" w:hAnsi="Times New Roman" w:cs="Times New Roman"/>
          <w:sz w:val="24"/>
          <w:szCs w:val="24"/>
        </w:rPr>
        <w:t>General Conditions” derived from the “Conditions  of the Contract for EPC/Turnkey Projects” First Edition 1999, published by the Federation Internationale des Ingenieurs-Conseils, FIDIC (the international fede</w:t>
      </w:r>
      <w:r w:rsidR="00090D2F" w:rsidRPr="006B2410">
        <w:rPr>
          <w:rFonts w:ascii="Times New Roman" w:hAnsi="Times New Roman" w:cs="Times New Roman"/>
          <w:sz w:val="24"/>
          <w:szCs w:val="24"/>
        </w:rPr>
        <w:t>ration of consulting engineers)</w:t>
      </w:r>
      <w:r w:rsidR="00111943" w:rsidRPr="006B2410">
        <w:rPr>
          <w:rFonts w:ascii="Times New Roman" w:hAnsi="Times New Roman" w:cs="Times New Roman"/>
          <w:sz w:val="24"/>
          <w:szCs w:val="24"/>
        </w:rPr>
        <w:t xml:space="preserve">, and the “Particular Conditions of Contract”, which included </w:t>
      </w:r>
      <w:r w:rsidR="00B54B81" w:rsidRPr="006B2410">
        <w:rPr>
          <w:rFonts w:ascii="Times New Roman" w:hAnsi="Times New Roman" w:cs="Times New Roman"/>
          <w:sz w:val="24"/>
          <w:szCs w:val="24"/>
        </w:rPr>
        <w:t>amendments and additions to the</w:t>
      </w:r>
      <w:r w:rsidR="00111943" w:rsidRPr="006B2410">
        <w:rPr>
          <w:rFonts w:ascii="Times New Roman" w:hAnsi="Times New Roman" w:cs="Times New Roman"/>
          <w:sz w:val="24"/>
          <w:szCs w:val="24"/>
        </w:rPr>
        <w:t xml:space="preserve"> General Conditions.</w:t>
      </w:r>
    </w:p>
    <w:p w:rsidR="00111943" w:rsidRPr="006B2410" w:rsidRDefault="00111943"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The contract encompassed some 126 pages consisting of six volumes of documents.  The first volume covered the Contract A</w:t>
      </w:r>
      <w:r w:rsidR="006D7528" w:rsidRPr="006B2410">
        <w:rPr>
          <w:rFonts w:ascii="Times New Roman" w:hAnsi="Times New Roman" w:cs="Times New Roman"/>
          <w:sz w:val="24"/>
          <w:szCs w:val="24"/>
        </w:rPr>
        <w:t xml:space="preserve">greement, Board Resolutions of the </w:t>
      </w:r>
      <w:r w:rsidRPr="006B2410">
        <w:rPr>
          <w:rFonts w:ascii="Times New Roman" w:hAnsi="Times New Roman" w:cs="Times New Roman"/>
          <w:sz w:val="24"/>
          <w:szCs w:val="24"/>
        </w:rPr>
        <w:t>signatories of the Contract, particular conditions of the contract, Schedule 1, being the schedule of payments, schedule 2, being the schedule of commencement and completion dates of sections and the Employer’s requirements. Volume 2 consisted of the general conditions of the contract, the Ministry of Transport and Energy Department of Roads Standard Specifications 1989, the SADC Standard Specifications for Road and Bridge Works (as applicable) and the COLTO Standard Specifications for Road and Bridge Works (as applicable).  Volume</w:t>
      </w:r>
      <w:r w:rsidR="003D1BA4" w:rsidRPr="006B2410">
        <w:rPr>
          <w:rFonts w:ascii="Times New Roman" w:hAnsi="Times New Roman" w:cs="Times New Roman"/>
          <w:sz w:val="24"/>
          <w:szCs w:val="24"/>
        </w:rPr>
        <w:t xml:space="preserve"> </w:t>
      </w:r>
      <w:r w:rsidR="00465BB9" w:rsidRPr="006B2410">
        <w:rPr>
          <w:rFonts w:ascii="Times New Roman" w:hAnsi="Times New Roman" w:cs="Times New Roman"/>
          <w:sz w:val="24"/>
          <w:szCs w:val="24"/>
        </w:rPr>
        <w:t>3, 4, 5 and 6 consisted of Road</w:t>
      </w:r>
      <w:r w:rsidR="003D1BA4" w:rsidRPr="006B2410">
        <w:rPr>
          <w:rFonts w:ascii="Times New Roman" w:hAnsi="Times New Roman" w:cs="Times New Roman"/>
          <w:sz w:val="24"/>
          <w:szCs w:val="24"/>
        </w:rPr>
        <w:t>works Drawings, Materials I</w:t>
      </w:r>
      <w:r w:rsidRPr="006B2410">
        <w:rPr>
          <w:rFonts w:ascii="Times New Roman" w:hAnsi="Times New Roman" w:cs="Times New Roman"/>
          <w:sz w:val="24"/>
          <w:szCs w:val="24"/>
        </w:rPr>
        <w:t>nvestigations and utilization, design report and environmental management plan, respectively.</w:t>
      </w:r>
    </w:p>
    <w:p w:rsidR="00111943" w:rsidRPr="006B2410" w:rsidRDefault="00111943"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w:t>
      </w:r>
      <w:r w:rsidR="00322EA3" w:rsidRPr="006B2410">
        <w:rPr>
          <w:rFonts w:ascii="Times New Roman" w:hAnsi="Times New Roman" w:cs="Times New Roman"/>
          <w:sz w:val="24"/>
          <w:szCs w:val="24"/>
        </w:rPr>
        <w:t>appellant</w:t>
      </w:r>
      <w:r w:rsidRPr="006B2410">
        <w:rPr>
          <w:rFonts w:ascii="Times New Roman" w:hAnsi="Times New Roman" w:cs="Times New Roman"/>
          <w:sz w:val="24"/>
          <w:szCs w:val="24"/>
        </w:rPr>
        <w:t xml:space="preserve"> undertook to design, execute and complete the Project in conformity with the provisions of the contract and the employer’s requirements for the agreed contract price of US$206 660 000,</w:t>
      </w:r>
      <w:r w:rsidR="003D1BA4" w:rsidRPr="006B2410">
        <w:rPr>
          <w:rFonts w:ascii="Times New Roman" w:hAnsi="Times New Roman" w:cs="Times New Roman"/>
          <w:sz w:val="24"/>
          <w:szCs w:val="24"/>
        </w:rPr>
        <w:t xml:space="preserve"> </w:t>
      </w:r>
      <w:r w:rsidRPr="006B2410">
        <w:rPr>
          <w:rFonts w:ascii="Times New Roman" w:hAnsi="Times New Roman" w:cs="Times New Roman"/>
          <w:sz w:val="24"/>
          <w:szCs w:val="24"/>
        </w:rPr>
        <w:t>excluding VAT, which was to be sub</w:t>
      </w:r>
      <w:r w:rsidR="007A62C4" w:rsidRPr="006B2410">
        <w:rPr>
          <w:rFonts w:ascii="Times New Roman" w:hAnsi="Times New Roman" w:cs="Times New Roman"/>
          <w:sz w:val="24"/>
          <w:szCs w:val="24"/>
        </w:rPr>
        <w:t xml:space="preserve">ject to any adjustments agreed </w:t>
      </w:r>
      <w:r w:rsidRPr="006B2410">
        <w:rPr>
          <w:rFonts w:ascii="Times New Roman" w:hAnsi="Times New Roman" w:cs="Times New Roman"/>
          <w:sz w:val="24"/>
          <w:szCs w:val="24"/>
        </w:rPr>
        <w:t>or determined  in accordance with the provisi</w:t>
      </w:r>
      <w:r w:rsidR="00840FF2" w:rsidRPr="006B2410">
        <w:rPr>
          <w:rFonts w:ascii="Times New Roman" w:hAnsi="Times New Roman" w:cs="Times New Roman"/>
          <w:sz w:val="24"/>
          <w:szCs w:val="24"/>
        </w:rPr>
        <w:t>ons of the contract.  The Employer</w:t>
      </w:r>
      <w:r w:rsidRPr="006B2410">
        <w:rPr>
          <w:rFonts w:ascii="Times New Roman" w:hAnsi="Times New Roman" w:cs="Times New Roman"/>
          <w:sz w:val="24"/>
          <w:szCs w:val="24"/>
        </w:rPr>
        <w:t xml:space="preserve"> undertook to pay the contract price for the execution and completion of the Project. The appellant was permitted </w:t>
      </w:r>
      <w:r w:rsidRPr="006B2410">
        <w:rPr>
          <w:rFonts w:ascii="Times New Roman" w:hAnsi="Times New Roman" w:cs="Times New Roman"/>
          <w:sz w:val="24"/>
          <w:szCs w:val="24"/>
        </w:rPr>
        <w:lastRenderedPageBreak/>
        <w:t>to co-operate with, and disclose any inform</w:t>
      </w:r>
      <w:r w:rsidR="00D830DC">
        <w:rPr>
          <w:rFonts w:ascii="Times New Roman" w:hAnsi="Times New Roman" w:cs="Times New Roman"/>
          <w:sz w:val="24"/>
          <w:szCs w:val="24"/>
        </w:rPr>
        <w:t>ation concerning the Project to</w:t>
      </w:r>
      <w:r w:rsidRPr="006B2410">
        <w:rPr>
          <w:rFonts w:ascii="Times New Roman" w:hAnsi="Times New Roman" w:cs="Times New Roman"/>
          <w:sz w:val="24"/>
          <w:szCs w:val="24"/>
        </w:rPr>
        <w:t xml:space="preserve"> the client’s senior debt financiers and the insurers of such senior debt financiers who could, in addition, inspect the works and operational sites of the appellant from time to time.  The contract, subject to the conditions in clause 1.1.3.2</w:t>
      </w:r>
      <w:r w:rsidR="00016DDA" w:rsidRPr="006B2410">
        <w:rPr>
          <w:rFonts w:ascii="Times New Roman" w:hAnsi="Times New Roman" w:cs="Times New Roman"/>
          <w:sz w:val="24"/>
          <w:szCs w:val="24"/>
        </w:rPr>
        <w:t xml:space="preserve"> </w:t>
      </w:r>
      <w:r w:rsidRPr="006B2410">
        <w:rPr>
          <w:rFonts w:ascii="Times New Roman" w:hAnsi="Times New Roman" w:cs="Times New Roman"/>
          <w:sz w:val="24"/>
          <w:szCs w:val="24"/>
        </w:rPr>
        <w:t>of the particular conditions of the contract, which involved the procurement of the necessary permits, licences and approvals for each section of the Project, was to commence 30 days after th</w:t>
      </w:r>
      <w:r w:rsidR="00306D05" w:rsidRPr="006B2410">
        <w:rPr>
          <w:rFonts w:ascii="Times New Roman" w:hAnsi="Times New Roman" w:cs="Times New Roman"/>
          <w:sz w:val="24"/>
          <w:szCs w:val="24"/>
        </w:rPr>
        <w:t xml:space="preserve">e date </w:t>
      </w:r>
      <w:r w:rsidRPr="006B2410">
        <w:rPr>
          <w:rFonts w:ascii="Times New Roman" w:hAnsi="Times New Roman" w:cs="Times New Roman"/>
          <w:sz w:val="24"/>
          <w:szCs w:val="24"/>
        </w:rPr>
        <w:t xml:space="preserve">signature.  </w:t>
      </w:r>
    </w:p>
    <w:p w:rsidR="00AD2AF6" w:rsidRPr="006B2410" w:rsidRDefault="000D6BDD"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In terms of the requests for drawdown </w:t>
      </w:r>
      <w:r w:rsidR="00D02E0C" w:rsidRPr="006B2410">
        <w:rPr>
          <w:rFonts w:ascii="Times New Roman" w:hAnsi="Times New Roman" w:cs="Times New Roman"/>
          <w:sz w:val="24"/>
          <w:szCs w:val="24"/>
        </w:rPr>
        <w:t>emanating from the Employer of</w:t>
      </w:r>
      <w:r w:rsidRPr="006B2410">
        <w:rPr>
          <w:rFonts w:ascii="Times New Roman" w:hAnsi="Times New Roman" w:cs="Times New Roman"/>
          <w:sz w:val="24"/>
          <w:szCs w:val="24"/>
        </w:rPr>
        <w:t xml:space="preserve"> 27 June 2011</w:t>
      </w:r>
      <w:r w:rsidR="00D02E0C" w:rsidRPr="006B2410">
        <w:rPr>
          <w:rStyle w:val="FootnoteReference"/>
          <w:rFonts w:ascii="Times New Roman" w:hAnsi="Times New Roman" w:cs="Times New Roman"/>
          <w:sz w:val="24"/>
          <w:szCs w:val="24"/>
        </w:rPr>
        <w:footnoteReference w:id="2"/>
      </w:r>
      <w:r w:rsidRPr="006B2410">
        <w:rPr>
          <w:rFonts w:ascii="Times New Roman" w:hAnsi="Times New Roman" w:cs="Times New Roman"/>
          <w:sz w:val="24"/>
          <w:szCs w:val="24"/>
        </w:rPr>
        <w:t xml:space="preserve">, </w:t>
      </w:r>
      <w:r w:rsidR="00D02E0C" w:rsidRPr="006B2410">
        <w:rPr>
          <w:rFonts w:ascii="Times New Roman" w:hAnsi="Times New Roman" w:cs="Times New Roman"/>
          <w:sz w:val="24"/>
          <w:szCs w:val="24"/>
        </w:rPr>
        <w:t>22 October 2012 and 25 November 2012</w:t>
      </w:r>
      <w:r w:rsidR="00D02E0C" w:rsidRPr="006B2410">
        <w:rPr>
          <w:rStyle w:val="FootnoteReference"/>
          <w:rFonts w:ascii="Times New Roman" w:hAnsi="Times New Roman" w:cs="Times New Roman"/>
          <w:sz w:val="24"/>
          <w:szCs w:val="24"/>
        </w:rPr>
        <w:footnoteReference w:id="3"/>
      </w:r>
      <w:r w:rsidR="00F6790A" w:rsidRPr="006B2410">
        <w:rPr>
          <w:rFonts w:ascii="Times New Roman" w:hAnsi="Times New Roman" w:cs="Times New Roman"/>
          <w:sz w:val="24"/>
          <w:szCs w:val="24"/>
        </w:rPr>
        <w:t xml:space="preserve">, the Employer, as the Borrower, concluded a US$ 206.6 million term loan facility agreement, the loan agreement, on 11 May 2011 with DB, a development </w:t>
      </w:r>
      <w:r w:rsidR="00F27D59" w:rsidRPr="006B2410">
        <w:rPr>
          <w:rFonts w:ascii="Times New Roman" w:hAnsi="Times New Roman" w:cs="Times New Roman"/>
          <w:sz w:val="24"/>
          <w:szCs w:val="24"/>
        </w:rPr>
        <w:t>bank based</w:t>
      </w:r>
      <w:r w:rsidR="00F6790A" w:rsidRPr="006B2410">
        <w:rPr>
          <w:rFonts w:ascii="Times New Roman" w:hAnsi="Times New Roman" w:cs="Times New Roman"/>
          <w:sz w:val="24"/>
          <w:szCs w:val="24"/>
        </w:rPr>
        <w:t xml:space="preserve"> in South Africa, as the Lender. </w:t>
      </w:r>
    </w:p>
    <w:p w:rsidR="00734538" w:rsidRPr="006B2410" w:rsidRDefault="005956EB"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Apparently, by 16 August 2010, ZINARA had entered into an agreement with a South African subsidiary of the South African holding company in which ZINARA allocated US$6m development funding “to</w:t>
      </w:r>
      <w:r w:rsidR="002F5C4C" w:rsidRPr="006B2410">
        <w:rPr>
          <w:rFonts w:ascii="Times New Roman" w:hAnsi="Times New Roman" w:cs="Times New Roman"/>
          <w:sz w:val="24"/>
          <w:szCs w:val="24"/>
        </w:rPr>
        <w:t xml:space="preserve"> the detailed investigation phase” and the facilitation of “a </w:t>
      </w:r>
      <w:r w:rsidRPr="006B2410">
        <w:rPr>
          <w:rFonts w:ascii="Times New Roman" w:hAnsi="Times New Roman" w:cs="Times New Roman"/>
          <w:sz w:val="24"/>
          <w:szCs w:val="24"/>
        </w:rPr>
        <w:t>rapid start-up to the roads rehabilitation programme”</w:t>
      </w:r>
      <w:r w:rsidR="00AD2DB7" w:rsidRPr="006B2410">
        <w:rPr>
          <w:rFonts w:ascii="Times New Roman" w:hAnsi="Times New Roman" w:cs="Times New Roman"/>
          <w:sz w:val="24"/>
          <w:szCs w:val="24"/>
        </w:rPr>
        <w:t>.  The amount was payable to the as yet unborn appellant on the 25</w:t>
      </w:r>
      <w:r w:rsidR="00AD2DB7" w:rsidRPr="006B2410">
        <w:rPr>
          <w:rFonts w:ascii="Times New Roman" w:hAnsi="Times New Roman" w:cs="Times New Roman"/>
          <w:sz w:val="24"/>
          <w:szCs w:val="24"/>
          <w:vertAlign w:val="superscript"/>
        </w:rPr>
        <w:t>th</w:t>
      </w:r>
      <w:r w:rsidR="00AD2DB7" w:rsidRPr="006B2410">
        <w:rPr>
          <w:rFonts w:ascii="Times New Roman" w:hAnsi="Times New Roman" w:cs="Times New Roman"/>
          <w:sz w:val="24"/>
          <w:szCs w:val="24"/>
        </w:rPr>
        <w:t xml:space="preserve"> of each month commencing on 25 August 2010 in six equal instalments. The money was to be used for “specialist testing of the road pavement structure, materials investigations, data collection and conceptual designs” for the Project. The expended portion of this development fee was to be </w:t>
      </w:r>
      <w:r w:rsidR="00C814D2" w:rsidRPr="006B2410">
        <w:rPr>
          <w:rFonts w:ascii="Times New Roman" w:hAnsi="Times New Roman" w:cs="Times New Roman"/>
          <w:sz w:val="24"/>
          <w:szCs w:val="24"/>
        </w:rPr>
        <w:t xml:space="preserve">reimbursed from the first drawdown from DB, anticipated to be </w:t>
      </w:r>
      <w:r w:rsidR="00033840" w:rsidRPr="006B2410">
        <w:rPr>
          <w:rFonts w:ascii="Times New Roman" w:hAnsi="Times New Roman" w:cs="Times New Roman"/>
          <w:sz w:val="24"/>
          <w:szCs w:val="24"/>
        </w:rPr>
        <w:t>in October 2010, being</w:t>
      </w:r>
      <w:r w:rsidR="00C814D2" w:rsidRPr="006B2410">
        <w:rPr>
          <w:rFonts w:ascii="Times New Roman" w:hAnsi="Times New Roman" w:cs="Times New Roman"/>
          <w:sz w:val="24"/>
          <w:szCs w:val="24"/>
        </w:rPr>
        <w:t xml:space="preserve"> a date prior to the co</w:t>
      </w:r>
      <w:r w:rsidR="00033840" w:rsidRPr="006B2410">
        <w:rPr>
          <w:rFonts w:ascii="Times New Roman" w:hAnsi="Times New Roman" w:cs="Times New Roman"/>
          <w:sz w:val="24"/>
          <w:szCs w:val="24"/>
        </w:rPr>
        <w:t xml:space="preserve">nclusion of the loan agreement. </w:t>
      </w:r>
    </w:p>
    <w:p w:rsidR="009066F5" w:rsidRPr="006B2410" w:rsidRDefault="008936B9"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On 18 January 2011, the appellant was incorporated in Zimbabwe. On 11 May 2011</w:t>
      </w:r>
      <w:r w:rsidR="006E21C8" w:rsidRPr="006B2410">
        <w:rPr>
          <w:rFonts w:ascii="Times New Roman" w:hAnsi="Times New Roman" w:cs="Times New Roman"/>
          <w:sz w:val="24"/>
          <w:szCs w:val="24"/>
        </w:rPr>
        <w:t>,</w:t>
      </w:r>
      <w:r w:rsidRPr="006B2410">
        <w:rPr>
          <w:rFonts w:ascii="Times New Roman" w:hAnsi="Times New Roman" w:cs="Times New Roman"/>
          <w:sz w:val="24"/>
          <w:szCs w:val="24"/>
        </w:rPr>
        <w:t xml:space="preserve"> it entered into the loan agreement with the development bank. On 4 August 2011</w:t>
      </w:r>
      <w:r w:rsidR="006E21C8" w:rsidRPr="006B2410">
        <w:rPr>
          <w:rFonts w:ascii="Times New Roman" w:hAnsi="Times New Roman" w:cs="Times New Roman"/>
          <w:sz w:val="24"/>
          <w:szCs w:val="24"/>
        </w:rPr>
        <w:t>,</w:t>
      </w:r>
      <w:r w:rsidRPr="006B2410">
        <w:rPr>
          <w:rFonts w:ascii="Times New Roman" w:hAnsi="Times New Roman" w:cs="Times New Roman"/>
          <w:sz w:val="24"/>
          <w:szCs w:val="24"/>
        </w:rPr>
        <w:t xml:space="preserve"> it concluded </w:t>
      </w:r>
      <w:r w:rsidR="004A15ED" w:rsidRPr="006B2410">
        <w:rPr>
          <w:rFonts w:ascii="Times New Roman" w:hAnsi="Times New Roman" w:cs="Times New Roman"/>
          <w:sz w:val="24"/>
          <w:szCs w:val="24"/>
        </w:rPr>
        <w:t xml:space="preserve">the Contract Agreement with the Employer. </w:t>
      </w:r>
      <w:r w:rsidR="0019259B" w:rsidRPr="006B2410">
        <w:rPr>
          <w:rFonts w:ascii="Times New Roman" w:hAnsi="Times New Roman" w:cs="Times New Roman"/>
          <w:sz w:val="24"/>
          <w:szCs w:val="24"/>
        </w:rPr>
        <w:t xml:space="preserve">The first witness stated that it commenced the design and preparatory </w:t>
      </w:r>
      <w:r w:rsidR="009066F5" w:rsidRPr="006B2410">
        <w:rPr>
          <w:rFonts w:ascii="Times New Roman" w:hAnsi="Times New Roman" w:cs="Times New Roman"/>
          <w:sz w:val="24"/>
          <w:szCs w:val="24"/>
        </w:rPr>
        <w:t>“</w:t>
      </w:r>
      <w:r w:rsidR="0019259B" w:rsidRPr="006B2410">
        <w:rPr>
          <w:rFonts w:ascii="Times New Roman" w:hAnsi="Times New Roman" w:cs="Times New Roman"/>
          <w:sz w:val="24"/>
          <w:szCs w:val="24"/>
        </w:rPr>
        <w:t>Works</w:t>
      </w:r>
      <w:r w:rsidR="009066F5" w:rsidRPr="006B2410">
        <w:rPr>
          <w:rFonts w:ascii="Times New Roman" w:hAnsi="Times New Roman" w:cs="Times New Roman"/>
          <w:sz w:val="24"/>
          <w:szCs w:val="24"/>
        </w:rPr>
        <w:t>”</w:t>
      </w:r>
      <w:r w:rsidR="0019259B" w:rsidRPr="006B2410">
        <w:rPr>
          <w:rFonts w:ascii="Times New Roman" w:hAnsi="Times New Roman" w:cs="Times New Roman"/>
          <w:sz w:val="24"/>
          <w:szCs w:val="24"/>
        </w:rPr>
        <w:t xml:space="preserve"> in March 2011 using the US$6m advanced by ZINARA until October 2011</w:t>
      </w:r>
      <w:r w:rsidR="009066F5" w:rsidRPr="006B2410">
        <w:rPr>
          <w:rFonts w:ascii="Times New Roman" w:hAnsi="Times New Roman" w:cs="Times New Roman"/>
          <w:sz w:val="24"/>
          <w:szCs w:val="24"/>
        </w:rPr>
        <w:t>,</w:t>
      </w:r>
      <w:r w:rsidR="0019259B" w:rsidRPr="006B2410">
        <w:rPr>
          <w:rFonts w:ascii="Times New Roman" w:hAnsi="Times New Roman" w:cs="Times New Roman"/>
          <w:sz w:val="24"/>
          <w:szCs w:val="24"/>
        </w:rPr>
        <w:t xml:space="preserve"> when it received US$54m from the Lender and eventually completed the Works on 17 December 2014</w:t>
      </w:r>
      <w:r w:rsidR="00C21285" w:rsidRPr="006B2410">
        <w:rPr>
          <w:rFonts w:ascii="Times New Roman" w:hAnsi="Times New Roman" w:cs="Times New Roman"/>
          <w:sz w:val="24"/>
          <w:szCs w:val="24"/>
        </w:rPr>
        <w:t xml:space="preserve">. </w:t>
      </w:r>
    </w:p>
    <w:p w:rsidR="007718C8" w:rsidRPr="006B2410" w:rsidRDefault="009066F5"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I</w:t>
      </w:r>
      <w:r w:rsidR="007170B2" w:rsidRPr="006B2410">
        <w:rPr>
          <w:rFonts w:ascii="Times New Roman" w:hAnsi="Times New Roman" w:cs="Times New Roman"/>
          <w:sz w:val="24"/>
          <w:szCs w:val="24"/>
        </w:rPr>
        <w:t>n February 2013 the respondent commenced a tax review of the appellant’s operations initially for the period 2009 to 2013 but</w:t>
      </w:r>
      <w:r w:rsidR="0019259B" w:rsidRPr="006B2410">
        <w:rPr>
          <w:rFonts w:ascii="Times New Roman" w:hAnsi="Times New Roman" w:cs="Times New Roman"/>
          <w:sz w:val="24"/>
          <w:szCs w:val="24"/>
        </w:rPr>
        <w:t xml:space="preserve"> soon concentrated the review to</w:t>
      </w:r>
      <w:r w:rsidR="007170B2" w:rsidRPr="006B2410">
        <w:rPr>
          <w:rFonts w:ascii="Times New Roman" w:hAnsi="Times New Roman" w:cs="Times New Roman"/>
          <w:sz w:val="24"/>
          <w:szCs w:val="24"/>
        </w:rPr>
        <w:t xml:space="preserve"> the 2011 to 2014 tax years. </w:t>
      </w:r>
      <w:r w:rsidR="00C21285" w:rsidRPr="006B2410">
        <w:rPr>
          <w:rFonts w:ascii="Times New Roman" w:hAnsi="Times New Roman" w:cs="Times New Roman"/>
          <w:sz w:val="24"/>
          <w:szCs w:val="24"/>
        </w:rPr>
        <w:t xml:space="preserve">After a series of meetings and an exchange of correspondence and documents, the respondent issued </w:t>
      </w:r>
      <w:r w:rsidR="00313F5B" w:rsidRPr="006B2410">
        <w:rPr>
          <w:rFonts w:ascii="Times New Roman" w:hAnsi="Times New Roman" w:cs="Times New Roman"/>
          <w:sz w:val="24"/>
          <w:szCs w:val="24"/>
        </w:rPr>
        <w:t xml:space="preserve">amended </w:t>
      </w:r>
      <w:r w:rsidR="007718C8" w:rsidRPr="006B2410">
        <w:rPr>
          <w:rFonts w:ascii="Times New Roman" w:hAnsi="Times New Roman" w:cs="Times New Roman"/>
          <w:sz w:val="24"/>
          <w:szCs w:val="24"/>
        </w:rPr>
        <w:t>annual notices of assessment for income tax</w:t>
      </w:r>
      <w:r w:rsidR="00313F5B" w:rsidRPr="006B2410">
        <w:rPr>
          <w:rFonts w:ascii="Times New Roman" w:hAnsi="Times New Roman" w:cs="Times New Roman"/>
          <w:sz w:val="24"/>
          <w:szCs w:val="24"/>
        </w:rPr>
        <w:t xml:space="preserve"> on 13 November 2015 in the sum of US$ 42 107 450.76 for the 2011 tax year and US$ 46 472 </w:t>
      </w:r>
      <w:r w:rsidR="00313F5B" w:rsidRPr="006B2410">
        <w:rPr>
          <w:rFonts w:ascii="Times New Roman" w:hAnsi="Times New Roman" w:cs="Times New Roman"/>
          <w:sz w:val="24"/>
          <w:szCs w:val="24"/>
        </w:rPr>
        <w:lastRenderedPageBreak/>
        <w:t>939.82 for the 2012 tax year and US$ 20 425 199.50 for the 2013 tax year.</w:t>
      </w:r>
      <w:r w:rsidR="0011755D" w:rsidRPr="006B2410">
        <w:rPr>
          <w:rFonts w:ascii="Times New Roman" w:hAnsi="Times New Roman" w:cs="Times New Roman"/>
          <w:sz w:val="24"/>
          <w:szCs w:val="24"/>
        </w:rPr>
        <w:t xml:space="preserve"> </w:t>
      </w:r>
      <w:r w:rsidR="003E311F" w:rsidRPr="006B2410">
        <w:rPr>
          <w:rFonts w:ascii="Times New Roman" w:hAnsi="Times New Roman" w:cs="Times New Roman"/>
          <w:sz w:val="24"/>
          <w:szCs w:val="24"/>
        </w:rPr>
        <w:t>On 10 December 2015</w:t>
      </w:r>
      <w:r w:rsidR="007718C8" w:rsidRPr="006B2410">
        <w:rPr>
          <w:rFonts w:ascii="Times New Roman" w:hAnsi="Times New Roman" w:cs="Times New Roman"/>
          <w:sz w:val="24"/>
          <w:szCs w:val="24"/>
        </w:rPr>
        <w:t xml:space="preserve">, the appellant objected to the assessments. </w:t>
      </w:r>
      <w:r w:rsidR="003E311F" w:rsidRPr="006B2410">
        <w:rPr>
          <w:rFonts w:ascii="Times New Roman" w:hAnsi="Times New Roman" w:cs="Times New Roman"/>
          <w:sz w:val="24"/>
          <w:szCs w:val="24"/>
        </w:rPr>
        <w:t>The respondent failed to determine the o</w:t>
      </w:r>
      <w:r w:rsidR="002F0BCA" w:rsidRPr="006B2410">
        <w:rPr>
          <w:rFonts w:ascii="Times New Roman" w:hAnsi="Times New Roman" w:cs="Times New Roman"/>
          <w:sz w:val="24"/>
          <w:szCs w:val="24"/>
        </w:rPr>
        <w:t>bjections within the</w:t>
      </w:r>
      <w:r w:rsidR="003E311F" w:rsidRPr="006B2410">
        <w:rPr>
          <w:rFonts w:ascii="Times New Roman" w:hAnsi="Times New Roman" w:cs="Times New Roman"/>
          <w:sz w:val="24"/>
          <w:szCs w:val="24"/>
        </w:rPr>
        <w:t xml:space="preserve"> prescribed </w:t>
      </w:r>
      <w:r w:rsidR="002F0BCA" w:rsidRPr="006B2410">
        <w:rPr>
          <w:rFonts w:ascii="Times New Roman" w:hAnsi="Times New Roman" w:cs="Times New Roman"/>
          <w:sz w:val="24"/>
          <w:szCs w:val="24"/>
        </w:rPr>
        <w:t xml:space="preserve">statutory </w:t>
      </w:r>
      <w:r w:rsidR="003E311F" w:rsidRPr="006B2410">
        <w:rPr>
          <w:rFonts w:ascii="Times New Roman" w:hAnsi="Times New Roman" w:cs="Times New Roman"/>
          <w:sz w:val="24"/>
          <w:szCs w:val="24"/>
        </w:rPr>
        <w:t>period of 3 months. The appellant timeously served the appellant with its notice of appeal on 31 March 2016</w:t>
      </w:r>
      <w:r w:rsidR="0011755D" w:rsidRPr="006B2410">
        <w:rPr>
          <w:rFonts w:ascii="Times New Roman" w:hAnsi="Times New Roman" w:cs="Times New Roman"/>
          <w:sz w:val="24"/>
          <w:szCs w:val="24"/>
        </w:rPr>
        <w:t>. The appellant’s case was filed on 30 May 2016 while the respondent’s case was filed on 1 August 2016.</w:t>
      </w:r>
      <w:r w:rsidR="00F96627" w:rsidRPr="006B2410">
        <w:rPr>
          <w:rFonts w:ascii="Times New Roman" w:hAnsi="Times New Roman" w:cs="Times New Roman"/>
          <w:sz w:val="24"/>
          <w:szCs w:val="24"/>
        </w:rPr>
        <w:t xml:space="preserve"> </w:t>
      </w:r>
      <w:r w:rsidR="00FC2006" w:rsidRPr="006B2410">
        <w:rPr>
          <w:rFonts w:ascii="Times New Roman" w:hAnsi="Times New Roman" w:cs="Times New Roman"/>
          <w:sz w:val="24"/>
          <w:szCs w:val="24"/>
        </w:rPr>
        <w:t>However, on 24 June 2016, the respondent issued further amended assessments of US$38 996 378.11 for 2011, US$ 35 443 299.88 for 2012 and US$2 425 522 for 2013</w:t>
      </w:r>
      <w:r w:rsidR="009209D6" w:rsidRPr="006B2410">
        <w:rPr>
          <w:rStyle w:val="FootnoteReference"/>
          <w:rFonts w:ascii="Times New Roman" w:hAnsi="Times New Roman" w:cs="Times New Roman"/>
          <w:sz w:val="24"/>
          <w:szCs w:val="24"/>
        </w:rPr>
        <w:footnoteReference w:id="4"/>
      </w:r>
      <w:r w:rsidR="00FC2006" w:rsidRPr="006B2410">
        <w:rPr>
          <w:rFonts w:ascii="Times New Roman" w:hAnsi="Times New Roman" w:cs="Times New Roman"/>
          <w:sz w:val="24"/>
          <w:szCs w:val="24"/>
        </w:rPr>
        <w:t xml:space="preserve">. </w:t>
      </w:r>
    </w:p>
    <w:p w:rsidR="00960955" w:rsidRPr="006B2410" w:rsidRDefault="00960955"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Notwithstanding the respondent’s failure to determine the objection within the pre</w:t>
      </w:r>
      <w:r w:rsidR="00860F94" w:rsidRPr="006B2410">
        <w:rPr>
          <w:rFonts w:ascii="Times New Roman" w:hAnsi="Times New Roman" w:cs="Times New Roman"/>
          <w:sz w:val="24"/>
          <w:szCs w:val="24"/>
        </w:rPr>
        <w:t>scribed statutory period, it</w:t>
      </w:r>
      <w:r w:rsidRPr="006B2410">
        <w:rPr>
          <w:rFonts w:ascii="Times New Roman" w:hAnsi="Times New Roman" w:cs="Times New Roman"/>
          <w:sz w:val="24"/>
          <w:szCs w:val="24"/>
        </w:rPr>
        <w:t xml:space="preserve"> issue</w:t>
      </w:r>
      <w:r w:rsidR="00860F94" w:rsidRPr="006B2410">
        <w:rPr>
          <w:rFonts w:ascii="Times New Roman" w:hAnsi="Times New Roman" w:cs="Times New Roman"/>
          <w:sz w:val="24"/>
          <w:szCs w:val="24"/>
        </w:rPr>
        <w:t>d</w:t>
      </w:r>
      <w:r w:rsidRPr="006B2410">
        <w:rPr>
          <w:rFonts w:ascii="Times New Roman" w:hAnsi="Times New Roman" w:cs="Times New Roman"/>
          <w:sz w:val="24"/>
          <w:szCs w:val="24"/>
        </w:rPr>
        <w:t xml:space="preserve"> a determination on 15 June 2016, in which </w:t>
      </w:r>
      <w:r w:rsidR="003E1993" w:rsidRPr="006B2410">
        <w:rPr>
          <w:rFonts w:ascii="Times New Roman" w:hAnsi="Times New Roman" w:cs="Times New Roman"/>
          <w:sz w:val="24"/>
          <w:szCs w:val="24"/>
        </w:rPr>
        <w:t xml:space="preserve">7 of the 17 objections were allowed in full. Of the 10 that remained one was disallowed by consent and another disallowed objection simply awaited provision of some requested invoices which the appellant was still to avail to the respondent. </w:t>
      </w:r>
      <w:r w:rsidR="00F96627" w:rsidRPr="006B2410">
        <w:rPr>
          <w:rFonts w:ascii="Times New Roman" w:hAnsi="Times New Roman" w:cs="Times New Roman"/>
          <w:sz w:val="24"/>
          <w:szCs w:val="24"/>
        </w:rPr>
        <w:t xml:space="preserve">By letter of 11 July 2016, the appellant abandoned the issues that had been allowed </w:t>
      </w:r>
      <w:r w:rsidR="00CD7640" w:rsidRPr="006B2410">
        <w:rPr>
          <w:rFonts w:ascii="Times New Roman" w:hAnsi="Times New Roman" w:cs="Times New Roman"/>
          <w:sz w:val="24"/>
          <w:szCs w:val="24"/>
        </w:rPr>
        <w:t xml:space="preserve">and </w:t>
      </w:r>
      <w:r w:rsidR="00F96627" w:rsidRPr="006B2410">
        <w:rPr>
          <w:rFonts w:ascii="Times New Roman" w:hAnsi="Times New Roman" w:cs="Times New Roman"/>
          <w:sz w:val="24"/>
          <w:szCs w:val="24"/>
        </w:rPr>
        <w:t>pursued</w:t>
      </w:r>
      <w:r w:rsidR="00325650" w:rsidRPr="006B2410">
        <w:rPr>
          <w:rFonts w:ascii="Times New Roman" w:hAnsi="Times New Roman" w:cs="Times New Roman"/>
          <w:sz w:val="24"/>
          <w:szCs w:val="24"/>
        </w:rPr>
        <w:t xml:space="preserve"> those that had been disallowed.</w:t>
      </w:r>
      <w:r w:rsidR="00F96627" w:rsidRPr="006B2410">
        <w:rPr>
          <w:rFonts w:ascii="Times New Roman" w:hAnsi="Times New Roman" w:cs="Times New Roman"/>
          <w:sz w:val="24"/>
          <w:szCs w:val="24"/>
        </w:rPr>
        <w:t xml:space="preserve"> </w:t>
      </w:r>
    </w:p>
    <w:p w:rsidR="0011755D" w:rsidRPr="006B2410" w:rsidRDefault="00960955"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respondent also added </w:t>
      </w:r>
      <w:r w:rsidR="0011755D" w:rsidRPr="006B2410">
        <w:rPr>
          <w:rFonts w:ascii="Times New Roman" w:hAnsi="Times New Roman" w:cs="Times New Roman"/>
          <w:sz w:val="24"/>
          <w:szCs w:val="24"/>
        </w:rPr>
        <w:t>to the 2011 to 2013 tax review, the investigation of the 2014 tax year.  On 14 and 28 August 2015, 29 September 2015, 30 October 2015 and 2, 6 and 13 November 2015 and 19 January 2016</w:t>
      </w:r>
      <w:r w:rsidR="003B4148" w:rsidRPr="006B2410">
        <w:rPr>
          <w:rStyle w:val="FootnoteReference"/>
          <w:rFonts w:ascii="Times New Roman" w:hAnsi="Times New Roman" w:cs="Times New Roman"/>
          <w:sz w:val="24"/>
          <w:szCs w:val="24"/>
        </w:rPr>
        <w:footnoteReference w:id="5"/>
      </w:r>
      <w:r w:rsidR="0011755D" w:rsidRPr="006B2410">
        <w:rPr>
          <w:rFonts w:ascii="Times New Roman" w:hAnsi="Times New Roman" w:cs="Times New Roman"/>
          <w:sz w:val="24"/>
          <w:szCs w:val="24"/>
        </w:rPr>
        <w:t xml:space="preserve">, the respondent requested a detailed </w:t>
      </w:r>
      <w:r w:rsidR="003B4148" w:rsidRPr="006B2410">
        <w:rPr>
          <w:rFonts w:ascii="Times New Roman" w:hAnsi="Times New Roman" w:cs="Times New Roman"/>
          <w:sz w:val="24"/>
          <w:szCs w:val="24"/>
        </w:rPr>
        <w:t>statement</w:t>
      </w:r>
      <w:r w:rsidR="0011755D" w:rsidRPr="006B2410">
        <w:rPr>
          <w:rFonts w:ascii="Times New Roman" w:hAnsi="Times New Roman" w:cs="Times New Roman"/>
          <w:sz w:val="24"/>
          <w:szCs w:val="24"/>
        </w:rPr>
        <w:t xml:space="preserve"> of comprehensive income for the </w:t>
      </w:r>
      <w:r w:rsidR="003B4148" w:rsidRPr="006B2410">
        <w:rPr>
          <w:rFonts w:ascii="Times New Roman" w:hAnsi="Times New Roman" w:cs="Times New Roman"/>
          <w:sz w:val="24"/>
          <w:szCs w:val="24"/>
        </w:rPr>
        <w:t xml:space="preserve">2014 tax year to enable it to finalise the 2014 tax assessments. </w:t>
      </w:r>
      <w:r w:rsidR="00CD7EFD" w:rsidRPr="006B2410">
        <w:rPr>
          <w:rFonts w:ascii="Times New Roman" w:hAnsi="Times New Roman" w:cs="Times New Roman"/>
          <w:sz w:val="24"/>
          <w:szCs w:val="24"/>
        </w:rPr>
        <w:t>The respondent eventually issued an amended manual notice of assessment for income tax for the 2014 tax year on 14 October 2016, showing an assessed loss of US$33 225 105.14.  The appellant filed objection with the respondent on 11 November 2016. The respondent made determination to the objection on 3 February 2017</w:t>
      </w:r>
      <w:r w:rsidR="001818D7" w:rsidRPr="006B2410">
        <w:rPr>
          <w:rFonts w:ascii="Times New Roman" w:hAnsi="Times New Roman" w:cs="Times New Roman"/>
          <w:sz w:val="24"/>
          <w:szCs w:val="24"/>
        </w:rPr>
        <w:t>,</w:t>
      </w:r>
      <w:r w:rsidR="00CD7EFD" w:rsidRPr="006B2410">
        <w:rPr>
          <w:rFonts w:ascii="Times New Roman" w:hAnsi="Times New Roman" w:cs="Times New Roman"/>
          <w:sz w:val="24"/>
          <w:szCs w:val="24"/>
        </w:rPr>
        <w:t xml:space="preserve"> to which the appellant</w:t>
      </w:r>
      <w:r w:rsidR="007355B6" w:rsidRPr="006B2410">
        <w:rPr>
          <w:rFonts w:ascii="Times New Roman" w:hAnsi="Times New Roman" w:cs="Times New Roman"/>
          <w:sz w:val="24"/>
          <w:szCs w:val="24"/>
        </w:rPr>
        <w:t xml:space="preserve"> served</w:t>
      </w:r>
      <w:r w:rsidR="00CD7EFD" w:rsidRPr="006B2410">
        <w:rPr>
          <w:rFonts w:ascii="Times New Roman" w:hAnsi="Times New Roman" w:cs="Times New Roman"/>
          <w:sz w:val="24"/>
          <w:szCs w:val="24"/>
        </w:rPr>
        <w:t xml:space="preserve"> its notice </w:t>
      </w:r>
      <w:r w:rsidR="0022524B" w:rsidRPr="006B2410">
        <w:rPr>
          <w:rFonts w:ascii="Times New Roman" w:hAnsi="Times New Roman" w:cs="Times New Roman"/>
          <w:sz w:val="24"/>
          <w:szCs w:val="24"/>
        </w:rPr>
        <w:t>of appeal</w:t>
      </w:r>
      <w:r w:rsidR="00CD7EFD" w:rsidRPr="006B2410">
        <w:rPr>
          <w:rFonts w:ascii="Times New Roman" w:hAnsi="Times New Roman" w:cs="Times New Roman"/>
          <w:sz w:val="24"/>
          <w:szCs w:val="24"/>
        </w:rPr>
        <w:t xml:space="preserve"> </w:t>
      </w:r>
      <w:r w:rsidR="007355B6" w:rsidRPr="006B2410">
        <w:rPr>
          <w:rFonts w:ascii="Times New Roman" w:hAnsi="Times New Roman" w:cs="Times New Roman"/>
          <w:sz w:val="24"/>
          <w:szCs w:val="24"/>
        </w:rPr>
        <w:t>on 24 February 2017.</w:t>
      </w:r>
      <w:r w:rsidR="00617F19" w:rsidRPr="006B2410">
        <w:rPr>
          <w:rFonts w:ascii="Times New Roman" w:hAnsi="Times New Roman" w:cs="Times New Roman"/>
          <w:sz w:val="24"/>
          <w:szCs w:val="24"/>
        </w:rPr>
        <w:t xml:space="preserve"> The parties filed their respective cases on 23 May 2017 and 14 July 2017. </w:t>
      </w:r>
    </w:p>
    <w:p w:rsidR="0002767C" w:rsidRPr="006B2410" w:rsidRDefault="0002767C" w:rsidP="00810332">
      <w:pPr>
        <w:jc w:val="both"/>
        <w:rPr>
          <w:rFonts w:ascii="Times New Roman" w:hAnsi="Times New Roman" w:cs="Times New Roman"/>
          <w:sz w:val="24"/>
          <w:szCs w:val="24"/>
          <w:u w:val="single"/>
        </w:rPr>
      </w:pPr>
      <w:r w:rsidRPr="006B2410">
        <w:rPr>
          <w:rFonts w:ascii="Times New Roman" w:hAnsi="Times New Roman" w:cs="Times New Roman"/>
          <w:sz w:val="24"/>
          <w:szCs w:val="24"/>
          <w:u w:val="single"/>
        </w:rPr>
        <w:t>The issues</w:t>
      </w:r>
    </w:p>
    <w:p w:rsidR="0002767C" w:rsidRPr="006B2410" w:rsidRDefault="0002767C" w:rsidP="00BC338F">
      <w:pPr>
        <w:spacing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At the pre-trial hearing of 24 March 2017 a total of eight issues were referred for determination on appeal. </w:t>
      </w:r>
      <w:r w:rsidR="00AC5B82" w:rsidRPr="006B2410">
        <w:rPr>
          <w:rFonts w:ascii="Times New Roman" w:hAnsi="Times New Roman" w:cs="Times New Roman"/>
          <w:sz w:val="24"/>
          <w:szCs w:val="24"/>
        </w:rPr>
        <w:t xml:space="preserve">However, at the commencement of the appeal hearing, the appellant abandoned the two issues arising from its objection to management fees and the one issue concerning the </w:t>
      </w:r>
      <w:r w:rsidR="00253FE0" w:rsidRPr="006B2410">
        <w:rPr>
          <w:rFonts w:ascii="Times New Roman" w:hAnsi="Times New Roman" w:cs="Times New Roman"/>
          <w:sz w:val="24"/>
          <w:szCs w:val="24"/>
        </w:rPr>
        <w:t xml:space="preserve">disallowance of the </w:t>
      </w:r>
      <w:r w:rsidR="00AC5B82" w:rsidRPr="006B2410">
        <w:rPr>
          <w:rFonts w:ascii="Times New Roman" w:hAnsi="Times New Roman" w:cs="Times New Roman"/>
          <w:sz w:val="24"/>
          <w:szCs w:val="24"/>
        </w:rPr>
        <w:t xml:space="preserve">claimed deduction of US$200 250 for the double payment of a </w:t>
      </w:r>
      <w:r w:rsidR="003224C2" w:rsidRPr="006B2410">
        <w:rPr>
          <w:rFonts w:ascii="Times New Roman" w:hAnsi="Times New Roman" w:cs="Times New Roman"/>
          <w:sz w:val="24"/>
          <w:szCs w:val="24"/>
        </w:rPr>
        <w:t xml:space="preserve">Car Junction </w:t>
      </w:r>
      <w:r w:rsidR="00AC5B82" w:rsidRPr="006B2410">
        <w:rPr>
          <w:rFonts w:ascii="Times New Roman" w:hAnsi="Times New Roman" w:cs="Times New Roman"/>
          <w:sz w:val="24"/>
          <w:szCs w:val="24"/>
        </w:rPr>
        <w:t xml:space="preserve">motor vehicle. </w:t>
      </w:r>
      <w:r w:rsidR="009042CD" w:rsidRPr="006B2410">
        <w:rPr>
          <w:rFonts w:ascii="Times New Roman" w:hAnsi="Times New Roman" w:cs="Times New Roman"/>
          <w:sz w:val="24"/>
          <w:szCs w:val="24"/>
        </w:rPr>
        <w:t>The issues that remained for determination were, therefore, these:</w:t>
      </w:r>
    </w:p>
    <w:p w:rsidR="0002767C" w:rsidRPr="006B2410" w:rsidRDefault="0002767C" w:rsidP="00BC338F">
      <w:pPr>
        <w:pStyle w:val="ListParagraph"/>
        <w:numPr>
          <w:ilvl w:val="0"/>
          <w:numId w:val="1"/>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lastRenderedPageBreak/>
        <w:t xml:space="preserve">Whether the deductions made by the appellant in terms of s 15 (2) </w:t>
      </w:r>
      <w:r w:rsidR="00BC0382" w:rsidRPr="006B2410">
        <w:rPr>
          <w:rFonts w:ascii="Times New Roman" w:hAnsi="Times New Roman" w:cs="Times New Roman"/>
          <w:sz w:val="24"/>
          <w:szCs w:val="24"/>
        </w:rPr>
        <w:t>(</w:t>
      </w:r>
      <w:r w:rsidRPr="006B2410">
        <w:rPr>
          <w:rFonts w:ascii="Times New Roman" w:hAnsi="Times New Roman" w:cs="Times New Roman"/>
          <w:sz w:val="24"/>
          <w:szCs w:val="24"/>
        </w:rPr>
        <w:t xml:space="preserve">cc) of the Income Tax </w:t>
      </w:r>
      <w:r w:rsidR="000E3EFB" w:rsidRPr="006B2410">
        <w:rPr>
          <w:rFonts w:ascii="Times New Roman" w:hAnsi="Times New Roman" w:cs="Times New Roman"/>
          <w:sz w:val="24"/>
          <w:szCs w:val="24"/>
        </w:rPr>
        <w:t>Act for</w:t>
      </w:r>
      <w:r w:rsidRPr="006B2410">
        <w:rPr>
          <w:rFonts w:ascii="Times New Roman" w:hAnsi="Times New Roman" w:cs="Times New Roman"/>
          <w:sz w:val="24"/>
          <w:szCs w:val="24"/>
        </w:rPr>
        <w:t xml:space="preserve"> the tax years 2011, 2012 and 2013 were proper</w:t>
      </w:r>
      <w:r w:rsidR="000E3EFB" w:rsidRPr="006B2410">
        <w:rPr>
          <w:rFonts w:ascii="Times New Roman" w:hAnsi="Times New Roman" w:cs="Times New Roman"/>
          <w:sz w:val="24"/>
          <w:szCs w:val="24"/>
        </w:rPr>
        <w:t>?</w:t>
      </w:r>
    </w:p>
    <w:p w:rsidR="0002767C" w:rsidRPr="006B2410" w:rsidRDefault="0002767C" w:rsidP="00BC338F">
      <w:pPr>
        <w:pStyle w:val="ListParagraph"/>
        <w:numPr>
          <w:ilvl w:val="0"/>
          <w:numId w:val="1"/>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Whether respondent was correct in deeming appellant to have earned interest on the amounts in question held by GFC and or its head office</w:t>
      </w:r>
      <w:r w:rsidR="000E3EFB" w:rsidRPr="006B2410">
        <w:rPr>
          <w:rFonts w:ascii="Times New Roman" w:hAnsi="Times New Roman" w:cs="Times New Roman"/>
          <w:sz w:val="24"/>
          <w:szCs w:val="24"/>
        </w:rPr>
        <w:t>?</w:t>
      </w:r>
    </w:p>
    <w:p w:rsidR="0002767C" w:rsidRPr="006B2410" w:rsidRDefault="0002767C" w:rsidP="00BC338F">
      <w:pPr>
        <w:pStyle w:val="ListParagraph"/>
        <w:numPr>
          <w:ilvl w:val="0"/>
          <w:numId w:val="1"/>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Whether the income of US$ 5 262 730.37 reflected in the appellant’s invoice 40 accrued to appella</w:t>
      </w:r>
      <w:r w:rsidR="000E3EFB" w:rsidRPr="006B2410">
        <w:rPr>
          <w:rFonts w:ascii="Times New Roman" w:hAnsi="Times New Roman" w:cs="Times New Roman"/>
          <w:sz w:val="24"/>
          <w:szCs w:val="24"/>
        </w:rPr>
        <w:t>nt before or after 30 June 2012?</w:t>
      </w:r>
    </w:p>
    <w:p w:rsidR="0002767C" w:rsidRPr="006B2410" w:rsidRDefault="0002767C" w:rsidP="00BC338F">
      <w:pPr>
        <w:pStyle w:val="ListParagraph"/>
        <w:numPr>
          <w:ilvl w:val="0"/>
          <w:numId w:val="1"/>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Whether the appellant realised an exchange gain of US$638 370 in the tax year 2011</w:t>
      </w:r>
      <w:r w:rsidR="000E3EFB" w:rsidRPr="006B2410">
        <w:rPr>
          <w:rFonts w:ascii="Times New Roman" w:hAnsi="Times New Roman" w:cs="Times New Roman"/>
          <w:sz w:val="24"/>
          <w:szCs w:val="24"/>
        </w:rPr>
        <w:t>?</w:t>
      </w:r>
    </w:p>
    <w:p w:rsidR="0002767C" w:rsidRPr="006B2410" w:rsidRDefault="0002767C" w:rsidP="00BC338F">
      <w:pPr>
        <w:pStyle w:val="ListParagraph"/>
        <w:numPr>
          <w:ilvl w:val="0"/>
          <w:numId w:val="1"/>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 xml:space="preserve">Whether it was appropriate for the </w:t>
      </w:r>
      <w:r w:rsidR="00B96682" w:rsidRPr="006B2410">
        <w:rPr>
          <w:rFonts w:ascii="Times New Roman" w:hAnsi="Times New Roman" w:cs="Times New Roman"/>
          <w:sz w:val="24"/>
          <w:szCs w:val="24"/>
        </w:rPr>
        <w:t>respondent to</w:t>
      </w:r>
      <w:r w:rsidRPr="006B2410">
        <w:rPr>
          <w:rFonts w:ascii="Times New Roman" w:hAnsi="Times New Roman" w:cs="Times New Roman"/>
          <w:sz w:val="24"/>
          <w:szCs w:val="24"/>
        </w:rPr>
        <w:t xml:space="preserve"> raise penalties of 100% or at all</w:t>
      </w:r>
      <w:r w:rsidR="000E3EFB" w:rsidRPr="006B2410">
        <w:rPr>
          <w:rFonts w:ascii="Times New Roman" w:hAnsi="Times New Roman" w:cs="Times New Roman"/>
          <w:sz w:val="24"/>
          <w:szCs w:val="24"/>
        </w:rPr>
        <w:t>?</w:t>
      </w:r>
    </w:p>
    <w:p w:rsidR="0002767C" w:rsidRPr="006B2410" w:rsidRDefault="0002767C" w:rsidP="00BC338F">
      <w:pPr>
        <w:spacing w:after="0" w:line="360" w:lineRule="auto"/>
        <w:jc w:val="both"/>
        <w:rPr>
          <w:rFonts w:ascii="Times New Roman" w:hAnsi="Times New Roman" w:cs="Times New Roman"/>
          <w:sz w:val="24"/>
          <w:szCs w:val="24"/>
        </w:rPr>
      </w:pPr>
      <w:r w:rsidRPr="006B2410">
        <w:rPr>
          <w:rFonts w:ascii="Times New Roman" w:hAnsi="Times New Roman" w:cs="Times New Roman"/>
          <w:sz w:val="24"/>
          <w:szCs w:val="24"/>
        </w:rPr>
        <w:t>I deal with each issue in turn.</w:t>
      </w:r>
    </w:p>
    <w:p w:rsidR="00810332" w:rsidRPr="006B2410" w:rsidRDefault="00810332" w:rsidP="00BC338F">
      <w:pPr>
        <w:spacing w:after="0" w:line="360" w:lineRule="auto"/>
        <w:jc w:val="both"/>
        <w:rPr>
          <w:rFonts w:ascii="Times New Roman" w:hAnsi="Times New Roman" w:cs="Times New Roman"/>
          <w:sz w:val="24"/>
          <w:szCs w:val="24"/>
        </w:rPr>
      </w:pPr>
      <w:r w:rsidRPr="006B2410">
        <w:rPr>
          <w:rFonts w:ascii="Times New Roman" w:hAnsi="Times New Roman" w:cs="Times New Roman"/>
          <w:i/>
          <w:sz w:val="24"/>
          <w:szCs w:val="24"/>
        </w:rPr>
        <w:t>Whether the deductions made by the appellant in terms of s 15 (2) cc) of the Income Tax Act for the tax years 2011, 2012 and 2013 were proper</w:t>
      </w:r>
    </w:p>
    <w:p w:rsidR="00AD082E" w:rsidRPr="006B2410" w:rsidRDefault="00AD082E" w:rsidP="00BC338F">
      <w:pPr>
        <w:spacing w:after="0" w:line="360" w:lineRule="auto"/>
        <w:jc w:val="both"/>
        <w:rPr>
          <w:rFonts w:ascii="Times New Roman" w:hAnsi="Times New Roman" w:cs="Times New Roman"/>
          <w:sz w:val="24"/>
          <w:szCs w:val="24"/>
          <w:u w:val="single"/>
        </w:rPr>
      </w:pPr>
      <w:r w:rsidRPr="006B2410">
        <w:rPr>
          <w:rFonts w:ascii="Times New Roman" w:hAnsi="Times New Roman" w:cs="Times New Roman"/>
          <w:sz w:val="24"/>
          <w:szCs w:val="24"/>
          <w:u w:val="single"/>
        </w:rPr>
        <w:t>The facts</w:t>
      </w:r>
    </w:p>
    <w:p w:rsidR="00BF5BCF" w:rsidRPr="006B2410" w:rsidRDefault="00F637A1"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On 20 June 2011, the appellant applied to the employer for an “interim payment</w:t>
      </w:r>
      <w:r w:rsidR="00982274" w:rsidRPr="006B2410">
        <w:rPr>
          <w:rFonts w:ascii="Times New Roman" w:hAnsi="Times New Roman" w:cs="Times New Roman"/>
          <w:sz w:val="24"/>
          <w:szCs w:val="24"/>
        </w:rPr>
        <w:t>”</w:t>
      </w:r>
      <w:r w:rsidRPr="006B2410">
        <w:rPr>
          <w:rFonts w:ascii="Times New Roman" w:hAnsi="Times New Roman" w:cs="Times New Roman"/>
          <w:sz w:val="24"/>
          <w:szCs w:val="24"/>
        </w:rPr>
        <w:t xml:space="preserve"> of US$54m for the month of June 2011 as provided in schedule 1, the schedule of payments.”</w:t>
      </w:r>
      <w:r w:rsidR="0063274F" w:rsidRPr="006B2410">
        <w:rPr>
          <w:rFonts w:ascii="Times New Roman" w:hAnsi="Times New Roman" w:cs="Times New Roman"/>
          <w:sz w:val="24"/>
          <w:szCs w:val="24"/>
        </w:rPr>
        <w:t xml:space="preserve"> It attached a contractor’s progress report-certificate number 1, copy of schedule 1 and a tax invoice number RI-0013 dated 20 June 2011. </w:t>
      </w:r>
      <w:r w:rsidR="00FB114E" w:rsidRPr="006B2410">
        <w:rPr>
          <w:rFonts w:ascii="Times New Roman" w:hAnsi="Times New Roman" w:cs="Times New Roman"/>
          <w:sz w:val="24"/>
          <w:szCs w:val="24"/>
        </w:rPr>
        <w:t>In consequence of this letter, the employer</w:t>
      </w:r>
      <w:r w:rsidR="00522AC2" w:rsidRPr="006B2410">
        <w:rPr>
          <w:rFonts w:ascii="Times New Roman" w:hAnsi="Times New Roman" w:cs="Times New Roman"/>
          <w:sz w:val="24"/>
          <w:szCs w:val="24"/>
        </w:rPr>
        <w:t>, by letter dated 27 June 2011</w:t>
      </w:r>
      <w:r w:rsidR="000F080A" w:rsidRPr="006B2410">
        <w:rPr>
          <w:rFonts w:ascii="Times New Roman" w:hAnsi="Times New Roman" w:cs="Times New Roman"/>
          <w:sz w:val="24"/>
          <w:szCs w:val="24"/>
        </w:rPr>
        <w:t>, requested</w:t>
      </w:r>
      <w:r w:rsidR="00522AC2" w:rsidRPr="006B2410">
        <w:rPr>
          <w:rFonts w:ascii="Times New Roman" w:hAnsi="Times New Roman" w:cs="Times New Roman"/>
          <w:sz w:val="24"/>
          <w:szCs w:val="24"/>
        </w:rPr>
        <w:t xml:space="preserve"> for “</w:t>
      </w:r>
      <w:r w:rsidR="00CB31F6" w:rsidRPr="006B2410">
        <w:rPr>
          <w:rFonts w:ascii="Times New Roman" w:hAnsi="Times New Roman" w:cs="Times New Roman"/>
          <w:sz w:val="24"/>
          <w:szCs w:val="24"/>
        </w:rPr>
        <w:t xml:space="preserve">the </w:t>
      </w:r>
      <w:r w:rsidR="00522AC2" w:rsidRPr="006B2410">
        <w:rPr>
          <w:rFonts w:ascii="Times New Roman" w:hAnsi="Times New Roman" w:cs="Times New Roman"/>
          <w:sz w:val="24"/>
          <w:szCs w:val="24"/>
        </w:rPr>
        <w:t>advance</w:t>
      </w:r>
      <w:r w:rsidR="00CB31F6" w:rsidRPr="006B2410">
        <w:rPr>
          <w:rFonts w:ascii="Times New Roman" w:hAnsi="Times New Roman" w:cs="Times New Roman"/>
          <w:sz w:val="24"/>
          <w:szCs w:val="24"/>
        </w:rPr>
        <w:t xml:space="preserve"> on or before 27 June 2011 (or as soon as practicable thereafter</w:t>
      </w:r>
      <w:r w:rsidR="00982274" w:rsidRPr="006B2410">
        <w:rPr>
          <w:rFonts w:ascii="Times New Roman" w:hAnsi="Times New Roman" w:cs="Times New Roman"/>
          <w:sz w:val="24"/>
          <w:szCs w:val="24"/>
        </w:rPr>
        <w:t>) the aggregate amount of US$54</w:t>
      </w:r>
      <w:r w:rsidR="00CB31F6" w:rsidRPr="006B2410">
        <w:rPr>
          <w:rFonts w:ascii="Times New Roman" w:hAnsi="Times New Roman" w:cs="Times New Roman"/>
          <w:sz w:val="24"/>
          <w:szCs w:val="24"/>
        </w:rPr>
        <w:t>m under the loan agreement (the loan)</w:t>
      </w:r>
      <w:r w:rsidR="00522AC2" w:rsidRPr="006B2410">
        <w:rPr>
          <w:rFonts w:ascii="Times New Roman" w:hAnsi="Times New Roman" w:cs="Times New Roman"/>
          <w:sz w:val="24"/>
          <w:szCs w:val="24"/>
        </w:rPr>
        <w:t>”</w:t>
      </w:r>
      <w:r w:rsidR="00D353B2" w:rsidRPr="006B2410">
        <w:rPr>
          <w:rStyle w:val="FootnoteReference"/>
          <w:rFonts w:ascii="Times New Roman" w:hAnsi="Times New Roman" w:cs="Times New Roman"/>
          <w:sz w:val="24"/>
          <w:szCs w:val="24"/>
        </w:rPr>
        <w:footnoteReference w:id="6"/>
      </w:r>
      <w:r w:rsidR="00CB31F6" w:rsidRPr="006B2410">
        <w:rPr>
          <w:rFonts w:ascii="Times New Roman" w:hAnsi="Times New Roman" w:cs="Times New Roman"/>
          <w:sz w:val="24"/>
          <w:szCs w:val="24"/>
        </w:rPr>
        <w:t xml:space="preserve"> from the development bank.</w:t>
      </w:r>
      <w:r w:rsidR="003A1624" w:rsidRPr="006B2410">
        <w:rPr>
          <w:rFonts w:ascii="Times New Roman" w:hAnsi="Times New Roman" w:cs="Times New Roman"/>
          <w:sz w:val="24"/>
          <w:szCs w:val="24"/>
        </w:rPr>
        <w:t xml:space="preserve"> The schedule of payments covered the 24 month</w:t>
      </w:r>
      <w:r w:rsidR="00641684" w:rsidRPr="006B2410">
        <w:rPr>
          <w:rFonts w:ascii="Times New Roman" w:hAnsi="Times New Roman" w:cs="Times New Roman"/>
          <w:sz w:val="24"/>
          <w:szCs w:val="24"/>
        </w:rPr>
        <w:t xml:space="preserve">s from June 2011 to </w:t>
      </w:r>
      <w:r w:rsidR="00EE456E" w:rsidRPr="006B2410">
        <w:rPr>
          <w:rFonts w:ascii="Times New Roman" w:hAnsi="Times New Roman" w:cs="Times New Roman"/>
          <w:sz w:val="24"/>
          <w:szCs w:val="24"/>
        </w:rPr>
        <w:t xml:space="preserve">May </w:t>
      </w:r>
      <w:r w:rsidR="00641684" w:rsidRPr="006B2410">
        <w:rPr>
          <w:rFonts w:ascii="Times New Roman" w:hAnsi="Times New Roman" w:cs="Times New Roman"/>
          <w:sz w:val="24"/>
          <w:szCs w:val="24"/>
        </w:rPr>
        <w:t>2013. It</w:t>
      </w:r>
      <w:r w:rsidR="003A1624" w:rsidRPr="006B2410">
        <w:rPr>
          <w:rFonts w:ascii="Times New Roman" w:hAnsi="Times New Roman" w:cs="Times New Roman"/>
          <w:sz w:val="24"/>
          <w:szCs w:val="24"/>
        </w:rPr>
        <w:t xml:space="preserve"> comprised of 3 major headings of </w:t>
      </w:r>
      <w:r w:rsidR="00F20770" w:rsidRPr="006B2410">
        <w:rPr>
          <w:rFonts w:ascii="Times New Roman" w:hAnsi="Times New Roman" w:cs="Times New Roman"/>
          <w:sz w:val="24"/>
          <w:szCs w:val="24"/>
        </w:rPr>
        <w:t>“P</w:t>
      </w:r>
      <w:r w:rsidR="00641684" w:rsidRPr="006B2410">
        <w:rPr>
          <w:rFonts w:ascii="Times New Roman" w:hAnsi="Times New Roman" w:cs="Times New Roman"/>
          <w:sz w:val="24"/>
          <w:szCs w:val="24"/>
        </w:rPr>
        <w:t>reliminary</w:t>
      </w:r>
      <w:r w:rsidR="003A1624" w:rsidRPr="006B2410">
        <w:rPr>
          <w:rFonts w:ascii="Times New Roman" w:hAnsi="Times New Roman" w:cs="Times New Roman"/>
          <w:sz w:val="24"/>
          <w:szCs w:val="24"/>
        </w:rPr>
        <w:t xml:space="preserve"> and </w:t>
      </w:r>
      <w:r w:rsidR="00F20770" w:rsidRPr="006B2410">
        <w:rPr>
          <w:rFonts w:ascii="Times New Roman" w:hAnsi="Times New Roman" w:cs="Times New Roman"/>
          <w:sz w:val="24"/>
          <w:szCs w:val="24"/>
        </w:rPr>
        <w:t>G</w:t>
      </w:r>
      <w:r w:rsidR="00641684" w:rsidRPr="006B2410">
        <w:rPr>
          <w:rFonts w:ascii="Times New Roman" w:hAnsi="Times New Roman" w:cs="Times New Roman"/>
          <w:sz w:val="24"/>
          <w:szCs w:val="24"/>
        </w:rPr>
        <w:t>eneral</w:t>
      </w:r>
      <w:r w:rsidR="00F20770" w:rsidRPr="006B2410">
        <w:rPr>
          <w:rFonts w:ascii="Times New Roman" w:hAnsi="Times New Roman" w:cs="Times New Roman"/>
          <w:sz w:val="24"/>
          <w:szCs w:val="24"/>
        </w:rPr>
        <w:t>”</w:t>
      </w:r>
      <w:r w:rsidR="00641684" w:rsidRPr="006B2410">
        <w:rPr>
          <w:rFonts w:ascii="Times New Roman" w:hAnsi="Times New Roman" w:cs="Times New Roman"/>
          <w:sz w:val="24"/>
          <w:szCs w:val="24"/>
        </w:rPr>
        <w:t>, P&amp;G</w:t>
      </w:r>
      <w:r w:rsidR="003A1624" w:rsidRPr="006B2410">
        <w:rPr>
          <w:rFonts w:ascii="Times New Roman" w:hAnsi="Times New Roman" w:cs="Times New Roman"/>
          <w:sz w:val="24"/>
          <w:szCs w:val="24"/>
        </w:rPr>
        <w:t xml:space="preserve">, </w:t>
      </w:r>
      <w:r w:rsidR="00F20770" w:rsidRPr="006B2410">
        <w:rPr>
          <w:rFonts w:ascii="Times New Roman" w:hAnsi="Times New Roman" w:cs="Times New Roman"/>
          <w:sz w:val="24"/>
          <w:szCs w:val="24"/>
        </w:rPr>
        <w:t>“</w:t>
      </w:r>
      <w:r w:rsidR="003A1624" w:rsidRPr="006B2410">
        <w:rPr>
          <w:rFonts w:ascii="Times New Roman" w:hAnsi="Times New Roman" w:cs="Times New Roman"/>
          <w:sz w:val="24"/>
          <w:szCs w:val="24"/>
        </w:rPr>
        <w:t>Roadw</w:t>
      </w:r>
      <w:r w:rsidR="00F20770" w:rsidRPr="006B2410">
        <w:rPr>
          <w:rFonts w:ascii="Times New Roman" w:hAnsi="Times New Roman" w:cs="Times New Roman"/>
          <w:sz w:val="24"/>
          <w:szCs w:val="24"/>
        </w:rPr>
        <w:t>ork</w:t>
      </w:r>
      <w:r w:rsidR="003A1624" w:rsidRPr="006B2410">
        <w:rPr>
          <w:rFonts w:ascii="Times New Roman" w:hAnsi="Times New Roman" w:cs="Times New Roman"/>
          <w:sz w:val="24"/>
          <w:szCs w:val="24"/>
        </w:rPr>
        <w:t>s</w:t>
      </w:r>
      <w:r w:rsidR="00F20770" w:rsidRPr="006B2410">
        <w:rPr>
          <w:rFonts w:ascii="Times New Roman" w:hAnsi="Times New Roman" w:cs="Times New Roman"/>
          <w:sz w:val="24"/>
          <w:szCs w:val="24"/>
        </w:rPr>
        <w:t>”</w:t>
      </w:r>
      <w:r w:rsidR="003A1624" w:rsidRPr="006B2410">
        <w:rPr>
          <w:rFonts w:ascii="Times New Roman" w:hAnsi="Times New Roman" w:cs="Times New Roman"/>
          <w:sz w:val="24"/>
          <w:szCs w:val="24"/>
        </w:rPr>
        <w:t xml:space="preserve"> and </w:t>
      </w:r>
      <w:r w:rsidR="00F20770" w:rsidRPr="006B2410">
        <w:rPr>
          <w:rFonts w:ascii="Times New Roman" w:hAnsi="Times New Roman" w:cs="Times New Roman"/>
          <w:sz w:val="24"/>
          <w:szCs w:val="24"/>
        </w:rPr>
        <w:t>“</w:t>
      </w:r>
      <w:r w:rsidR="003A1624" w:rsidRPr="006B2410">
        <w:rPr>
          <w:rFonts w:ascii="Times New Roman" w:hAnsi="Times New Roman" w:cs="Times New Roman"/>
          <w:sz w:val="24"/>
          <w:szCs w:val="24"/>
        </w:rPr>
        <w:t>Toll Plazas</w:t>
      </w:r>
      <w:r w:rsidR="00F20770" w:rsidRPr="006B2410">
        <w:rPr>
          <w:rFonts w:ascii="Times New Roman" w:hAnsi="Times New Roman" w:cs="Times New Roman"/>
          <w:sz w:val="24"/>
          <w:szCs w:val="24"/>
        </w:rPr>
        <w:t xml:space="preserve">” with </w:t>
      </w:r>
      <w:r w:rsidR="00641684" w:rsidRPr="006B2410">
        <w:rPr>
          <w:rFonts w:ascii="Times New Roman" w:hAnsi="Times New Roman" w:cs="Times New Roman"/>
          <w:sz w:val="24"/>
          <w:szCs w:val="24"/>
        </w:rPr>
        <w:t>several line items under them.</w:t>
      </w:r>
      <w:r w:rsidR="00F135B1">
        <w:rPr>
          <w:rFonts w:ascii="Times New Roman" w:hAnsi="Times New Roman" w:cs="Times New Roman"/>
          <w:sz w:val="24"/>
          <w:szCs w:val="24"/>
        </w:rPr>
        <w:t xml:space="preserve"> The contract price was apportioned</w:t>
      </w:r>
      <w:r w:rsidR="00641684" w:rsidRPr="006B2410">
        <w:rPr>
          <w:rFonts w:ascii="Times New Roman" w:hAnsi="Times New Roman" w:cs="Times New Roman"/>
          <w:sz w:val="24"/>
          <w:szCs w:val="24"/>
        </w:rPr>
        <w:t xml:space="preserve"> amongst each head and item for the duration of the contract</w:t>
      </w:r>
      <w:r w:rsidR="003A1624" w:rsidRPr="006B2410">
        <w:rPr>
          <w:rFonts w:ascii="Times New Roman" w:hAnsi="Times New Roman" w:cs="Times New Roman"/>
          <w:sz w:val="24"/>
          <w:szCs w:val="24"/>
        </w:rPr>
        <w:t xml:space="preserve">. </w:t>
      </w:r>
      <w:r w:rsidR="00982274" w:rsidRPr="006B2410">
        <w:rPr>
          <w:rFonts w:ascii="Times New Roman" w:hAnsi="Times New Roman" w:cs="Times New Roman"/>
          <w:sz w:val="24"/>
          <w:szCs w:val="24"/>
        </w:rPr>
        <w:t xml:space="preserve">Under </w:t>
      </w:r>
      <w:r w:rsidR="00641684" w:rsidRPr="006B2410">
        <w:rPr>
          <w:rFonts w:ascii="Times New Roman" w:hAnsi="Times New Roman" w:cs="Times New Roman"/>
          <w:sz w:val="24"/>
          <w:szCs w:val="24"/>
        </w:rPr>
        <w:t xml:space="preserve">P&amp;G were two items of </w:t>
      </w:r>
      <w:r w:rsidR="00023DBF" w:rsidRPr="006B2410">
        <w:rPr>
          <w:rFonts w:ascii="Times New Roman" w:hAnsi="Times New Roman" w:cs="Times New Roman"/>
          <w:sz w:val="24"/>
          <w:szCs w:val="24"/>
        </w:rPr>
        <w:t>“</w:t>
      </w:r>
      <w:r w:rsidR="00641684" w:rsidRPr="006B2410">
        <w:rPr>
          <w:rFonts w:ascii="Times New Roman" w:hAnsi="Times New Roman" w:cs="Times New Roman"/>
          <w:sz w:val="24"/>
          <w:szCs w:val="24"/>
        </w:rPr>
        <w:t>establishment</w:t>
      </w:r>
      <w:r w:rsidR="00023DBF" w:rsidRPr="006B2410">
        <w:rPr>
          <w:rFonts w:ascii="Times New Roman" w:hAnsi="Times New Roman" w:cs="Times New Roman"/>
          <w:sz w:val="24"/>
          <w:szCs w:val="24"/>
        </w:rPr>
        <w:t>”</w:t>
      </w:r>
      <w:r w:rsidR="00641684" w:rsidRPr="006B2410">
        <w:rPr>
          <w:rFonts w:ascii="Times New Roman" w:hAnsi="Times New Roman" w:cs="Times New Roman"/>
          <w:sz w:val="24"/>
          <w:szCs w:val="24"/>
        </w:rPr>
        <w:t xml:space="preserve"> and </w:t>
      </w:r>
      <w:r w:rsidR="00023DBF" w:rsidRPr="006B2410">
        <w:rPr>
          <w:rFonts w:ascii="Times New Roman" w:hAnsi="Times New Roman" w:cs="Times New Roman"/>
          <w:sz w:val="24"/>
          <w:szCs w:val="24"/>
        </w:rPr>
        <w:t>“</w:t>
      </w:r>
      <w:r w:rsidR="00641684" w:rsidRPr="006B2410">
        <w:rPr>
          <w:rFonts w:ascii="Times New Roman" w:hAnsi="Times New Roman" w:cs="Times New Roman"/>
          <w:sz w:val="24"/>
          <w:szCs w:val="24"/>
        </w:rPr>
        <w:t>time-related</w:t>
      </w:r>
      <w:r w:rsidR="00023DBF" w:rsidRPr="006B2410">
        <w:rPr>
          <w:rFonts w:ascii="Times New Roman" w:hAnsi="Times New Roman" w:cs="Times New Roman"/>
          <w:sz w:val="24"/>
          <w:szCs w:val="24"/>
        </w:rPr>
        <w:t>”</w:t>
      </w:r>
      <w:r w:rsidR="00641684" w:rsidRPr="006B2410">
        <w:rPr>
          <w:rFonts w:ascii="Times New Roman" w:hAnsi="Times New Roman" w:cs="Times New Roman"/>
          <w:sz w:val="24"/>
          <w:szCs w:val="24"/>
        </w:rPr>
        <w:t xml:space="preserve">. </w:t>
      </w:r>
      <w:r w:rsidR="00F20770" w:rsidRPr="006B2410">
        <w:rPr>
          <w:rFonts w:ascii="Times New Roman" w:hAnsi="Times New Roman" w:cs="Times New Roman"/>
          <w:sz w:val="24"/>
          <w:szCs w:val="24"/>
        </w:rPr>
        <w:t xml:space="preserve">The payments allocated to </w:t>
      </w:r>
      <w:r w:rsidR="00BB3734" w:rsidRPr="006B2410">
        <w:rPr>
          <w:rFonts w:ascii="Times New Roman" w:hAnsi="Times New Roman" w:cs="Times New Roman"/>
          <w:sz w:val="24"/>
          <w:szCs w:val="24"/>
        </w:rPr>
        <w:t>“</w:t>
      </w:r>
      <w:r w:rsidR="00F20770" w:rsidRPr="006B2410">
        <w:rPr>
          <w:rFonts w:ascii="Times New Roman" w:hAnsi="Times New Roman" w:cs="Times New Roman"/>
          <w:sz w:val="24"/>
          <w:szCs w:val="24"/>
        </w:rPr>
        <w:t>establishment</w:t>
      </w:r>
      <w:r w:rsidR="00BB3734" w:rsidRPr="006B2410">
        <w:rPr>
          <w:rFonts w:ascii="Times New Roman" w:hAnsi="Times New Roman" w:cs="Times New Roman"/>
          <w:sz w:val="24"/>
          <w:szCs w:val="24"/>
        </w:rPr>
        <w:t>”</w:t>
      </w:r>
      <w:r w:rsidR="00F20770" w:rsidRPr="006B2410">
        <w:rPr>
          <w:rFonts w:ascii="Times New Roman" w:hAnsi="Times New Roman" w:cs="Times New Roman"/>
          <w:sz w:val="24"/>
          <w:szCs w:val="24"/>
        </w:rPr>
        <w:t xml:space="preserve"> were US$ 53 250 000 and </w:t>
      </w:r>
      <w:r w:rsidR="00023DBF" w:rsidRPr="006B2410">
        <w:rPr>
          <w:rFonts w:ascii="Times New Roman" w:hAnsi="Times New Roman" w:cs="Times New Roman"/>
          <w:sz w:val="24"/>
          <w:szCs w:val="24"/>
        </w:rPr>
        <w:t xml:space="preserve">to time-related, </w:t>
      </w:r>
      <w:r w:rsidR="00F20770" w:rsidRPr="006B2410">
        <w:rPr>
          <w:rFonts w:ascii="Times New Roman" w:hAnsi="Times New Roman" w:cs="Times New Roman"/>
          <w:sz w:val="24"/>
          <w:szCs w:val="24"/>
        </w:rPr>
        <w:t xml:space="preserve">US$18m. The </w:t>
      </w:r>
      <w:r w:rsidR="00BB3734" w:rsidRPr="006B2410">
        <w:rPr>
          <w:rFonts w:ascii="Times New Roman" w:hAnsi="Times New Roman" w:cs="Times New Roman"/>
          <w:sz w:val="24"/>
          <w:szCs w:val="24"/>
        </w:rPr>
        <w:t>“</w:t>
      </w:r>
      <w:r w:rsidR="00F20770" w:rsidRPr="006B2410">
        <w:rPr>
          <w:rFonts w:ascii="Times New Roman" w:hAnsi="Times New Roman" w:cs="Times New Roman"/>
          <w:sz w:val="24"/>
          <w:szCs w:val="24"/>
        </w:rPr>
        <w:t>time-related</w:t>
      </w:r>
      <w:r w:rsidR="00BB3734" w:rsidRPr="006B2410">
        <w:rPr>
          <w:rFonts w:ascii="Times New Roman" w:hAnsi="Times New Roman" w:cs="Times New Roman"/>
          <w:sz w:val="24"/>
          <w:szCs w:val="24"/>
        </w:rPr>
        <w:t>”</w:t>
      </w:r>
      <w:r w:rsidR="00F20770" w:rsidRPr="006B2410">
        <w:rPr>
          <w:rFonts w:ascii="Times New Roman" w:hAnsi="Times New Roman" w:cs="Times New Roman"/>
          <w:sz w:val="24"/>
          <w:szCs w:val="24"/>
        </w:rPr>
        <w:t xml:space="preserve"> payments were spread in equal instalments of US$750 000 per month while the stated </w:t>
      </w:r>
      <w:r w:rsidR="00BB3734" w:rsidRPr="006B2410">
        <w:rPr>
          <w:rFonts w:ascii="Times New Roman" w:hAnsi="Times New Roman" w:cs="Times New Roman"/>
          <w:sz w:val="24"/>
          <w:szCs w:val="24"/>
        </w:rPr>
        <w:t>“</w:t>
      </w:r>
      <w:r w:rsidR="00F20770" w:rsidRPr="006B2410">
        <w:rPr>
          <w:rFonts w:ascii="Times New Roman" w:hAnsi="Times New Roman" w:cs="Times New Roman"/>
          <w:sz w:val="24"/>
          <w:szCs w:val="24"/>
        </w:rPr>
        <w:t>establishment</w:t>
      </w:r>
      <w:r w:rsidR="00BB3734" w:rsidRPr="006B2410">
        <w:rPr>
          <w:rFonts w:ascii="Times New Roman" w:hAnsi="Times New Roman" w:cs="Times New Roman"/>
          <w:sz w:val="24"/>
          <w:szCs w:val="24"/>
        </w:rPr>
        <w:t>”</w:t>
      </w:r>
      <w:r w:rsidR="00F20770" w:rsidRPr="006B2410">
        <w:rPr>
          <w:rFonts w:ascii="Times New Roman" w:hAnsi="Times New Roman" w:cs="Times New Roman"/>
          <w:sz w:val="24"/>
          <w:szCs w:val="24"/>
        </w:rPr>
        <w:t xml:space="preserve"> amount was to be a once off June 2011 payment. </w:t>
      </w:r>
      <w:r w:rsidR="00BF5BCF" w:rsidRPr="006B2410">
        <w:rPr>
          <w:rFonts w:ascii="Times New Roman" w:hAnsi="Times New Roman" w:cs="Times New Roman"/>
          <w:sz w:val="24"/>
          <w:szCs w:val="24"/>
        </w:rPr>
        <w:t>The monthly payments for each section of</w:t>
      </w:r>
      <w:r w:rsidR="00A602E9" w:rsidRPr="006B2410">
        <w:rPr>
          <w:rFonts w:ascii="Times New Roman" w:hAnsi="Times New Roman" w:cs="Times New Roman"/>
          <w:sz w:val="24"/>
          <w:szCs w:val="24"/>
        </w:rPr>
        <w:t xml:space="preserve"> the road were indicated under </w:t>
      </w:r>
      <w:r w:rsidR="00BB3734" w:rsidRPr="006B2410">
        <w:rPr>
          <w:rFonts w:ascii="Times New Roman" w:hAnsi="Times New Roman" w:cs="Times New Roman"/>
          <w:sz w:val="24"/>
          <w:szCs w:val="24"/>
        </w:rPr>
        <w:t>“</w:t>
      </w:r>
      <w:r w:rsidR="00A602E9" w:rsidRPr="006B2410">
        <w:rPr>
          <w:rFonts w:ascii="Times New Roman" w:hAnsi="Times New Roman" w:cs="Times New Roman"/>
          <w:sz w:val="24"/>
          <w:szCs w:val="24"/>
        </w:rPr>
        <w:t>Road</w:t>
      </w:r>
      <w:r w:rsidR="00BF5BCF" w:rsidRPr="006B2410">
        <w:rPr>
          <w:rFonts w:ascii="Times New Roman" w:hAnsi="Times New Roman" w:cs="Times New Roman"/>
          <w:sz w:val="24"/>
          <w:szCs w:val="24"/>
        </w:rPr>
        <w:t>works</w:t>
      </w:r>
      <w:r w:rsidR="00BB3734" w:rsidRPr="006B2410">
        <w:rPr>
          <w:rFonts w:ascii="Times New Roman" w:hAnsi="Times New Roman" w:cs="Times New Roman"/>
          <w:sz w:val="24"/>
          <w:szCs w:val="24"/>
        </w:rPr>
        <w:t>”</w:t>
      </w:r>
      <w:r w:rsidR="00BF5BCF" w:rsidRPr="006B2410">
        <w:rPr>
          <w:rFonts w:ascii="Times New Roman" w:hAnsi="Times New Roman" w:cs="Times New Roman"/>
          <w:sz w:val="24"/>
          <w:szCs w:val="24"/>
        </w:rPr>
        <w:t xml:space="preserve"> as were those related to each </w:t>
      </w:r>
      <w:r w:rsidR="00BB3734" w:rsidRPr="006B2410">
        <w:rPr>
          <w:rFonts w:ascii="Times New Roman" w:hAnsi="Times New Roman" w:cs="Times New Roman"/>
          <w:sz w:val="24"/>
          <w:szCs w:val="24"/>
        </w:rPr>
        <w:t>“</w:t>
      </w:r>
      <w:r w:rsidR="00C34056" w:rsidRPr="006B2410">
        <w:rPr>
          <w:rFonts w:ascii="Times New Roman" w:hAnsi="Times New Roman" w:cs="Times New Roman"/>
          <w:sz w:val="24"/>
          <w:szCs w:val="24"/>
        </w:rPr>
        <w:t>Toll P</w:t>
      </w:r>
      <w:r w:rsidR="00BF5BCF" w:rsidRPr="006B2410">
        <w:rPr>
          <w:rFonts w:ascii="Times New Roman" w:hAnsi="Times New Roman" w:cs="Times New Roman"/>
          <w:sz w:val="24"/>
          <w:szCs w:val="24"/>
        </w:rPr>
        <w:t>laza</w:t>
      </w:r>
      <w:r w:rsidR="00BB3734" w:rsidRPr="006B2410">
        <w:rPr>
          <w:rFonts w:ascii="Times New Roman" w:hAnsi="Times New Roman" w:cs="Times New Roman"/>
          <w:sz w:val="24"/>
          <w:szCs w:val="24"/>
        </w:rPr>
        <w:t>”</w:t>
      </w:r>
      <w:r w:rsidR="00BF5BCF" w:rsidRPr="006B2410">
        <w:rPr>
          <w:rFonts w:ascii="Times New Roman" w:hAnsi="Times New Roman" w:cs="Times New Roman"/>
          <w:sz w:val="24"/>
          <w:szCs w:val="24"/>
        </w:rPr>
        <w:t xml:space="preserve">, </w:t>
      </w:r>
      <w:r w:rsidR="00A810EE" w:rsidRPr="006B2410">
        <w:rPr>
          <w:rFonts w:ascii="Times New Roman" w:hAnsi="Times New Roman" w:cs="Times New Roman"/>
          <w:sz w:val="24"/>
          <w:szCs w:val="24"/>
        </w:rPr>
        <w:t xml:space="preserve">were </w:t>
      </w:r>
      <w:r w:rsidR="00BF5BCF" w:rsidRPr="006B2410">
        <w:rPr>
          <w:rFonts w:ascii="Times New Roman" w:hAnsi="Times New Roman" w:cs="Times New Roman"/>
          <w:sz w:val="24"/>
          <w:szCs w:val="24"/>
        </w:rPr>
        <w:t>identifiable by the</w:t>
      </w:r>
      <w:r w:rsidR="00A810EE" w:rsidRPr="006B2410">
        <w:rPr>
          <w:rFonts w:ascii="Times New Roman" w:hAnsi="Times New Roman" w:cs="Times New Roman"/>
          <w:sz w:val="24"/>
          <w:szCs w:val="24"/>
        </w:rPr>
        <w:t>ir</w:t>
      </w:r>
      <w:r w:rsidR="00BF5BCF" w:rsidRPr="006B2410">
        <w:rPr>
          <w:rFonts w:ascii="Times New Roman" w:hAnsi="Times New Roman" w:cs="Times New Roman"/>
          <w:sz w:val="24"/>
          <w:szCs w:val="24"/>
        </w:rPr>
        <w:t xml:space="preserve"> closest town.  </w:t>
      </w:r>
    </w:p>
    <w:p w:rsidR="00C74B6F" w:rsidRPr="006B2410" w:rsidRDefault="00EE456E"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The app</w:t>
      </w:r>
      <w:r w:rsidR="00DA74FC" w:rsidRPr="006B2410">
        <w:rPr>
          <w:rFonts w:ascii="Times New Roman" w:hAnsi="Times New Roman" w:cs="Times New Roman"/>
          <w:sz w:val="24"/>
          <w:szCs w:val="24"/>
        </w:rPr>
        <w:t>lication was not successful. The quantity surveyor attributed the failure to the absence of some essential documents requested by the Lender from the Employer.  He further stated that the Employer, whose duty it was to do so, also failed to timeously procure</w:t>
      </w:r>
      <w:r w:rsidR="00940E16" w:rsidRPr="006B2410">
        <w:rPr>
          <w:rFonts w:ascii="Times New Roman" w:hAnsi="Times New Roman" w:cs="Times New Roman"/>
          <w:sz w:val="24"/>
          <w:szCs w:val="24"/>
        </w:rPr>
        <w:t xml:space="preserve"> the </w:t>
      </w:r>
      <w:r w:rsidR="00940E16" w:rsidRPr="006B2410">
        <w:rPr>
          <w:rFonts w:ascii="Times New Roman" w:hAnsi="Times New Roman" w:cs="Times New Roman"/>
          <w:sz w:val="24"/>
          <w:szCs w:val="24"/>
        </w:rPr>
        <w:lastRenderedPageBreak/>
        <w:t xml:space="preserve">requisite permits, licences and approvals </w:t>
      </w:r>
      <w:r w:rsidR="00DA74FC" w:rsidRPr="006B2410">
        <w:rPr>
          <w:rFonts w:ascii="Times New Roman" w:hAnsi="Times New Roman" w:cs="Times New Roman"/>
          <w:sz w:val="24"/>
          <w:szCs w:val="24"/>
        </w:rPr>
        <w:t xml:space="preserve">required for the commencement of the actual physical construction of the road. The r11 documents, </w:t>
      </w:r>
      <w:r w:rsidR="00BB3734" w:rsidRPr="006B2410">
        <w:rPr>
          <w:rFonts w:ascii="Times New Roman" w:hAnsi="Times New Roman" w:cs="Times New Roman"/>
          <w:i/>
          <w:sz w:val="24"/>
          <w:szCs w:val="24"/>
        </w:rPr>
        <w:t xml:space="preserve">inter alia, </w:t>
      </w:r>
      <w:r w:rsidR="00BB3734" w:rsidRPr="006B2410">
        <w:rPr>
          <w:rFonts w:ascii="Times New Roman" w:hAnsi="Times New Roman" w:cs="Times New Roman"/>
          <w:sz w:val="24"/>
          <w:szCs w:val="24"/>
        </w:rPr>
        <w:t>“</w:t>
      </w:r>
      <w:r w:rsidR="00DA74FC" w:rsidRPr="006B2410">
        <w:rPr>
          <w:rFonts w:ascii="Times New Roman" w:hAnsi="Times New Roman" w:cs="Times New Roman"/>
          <w:sz w:val="24"/>
          <w:szCs w:val="24"/>
        </w:rPr>
        <w:t>co</w:t>
      </w:r>
      <w:r w:rsidR="00F8497B" w:rsidRPr="006B2410">
        <w:rPr>
          <w:rFonts w:ascii="Times New Roman" w:hAnsi="Times New Roman" w:cs="Times New Roman"/>
          <w:sz w:val="24"/>
          <w:szCs w:val="24"/>
        </w:rPr>
        <w:t xml:space="preserve">ntain </w:t>
      </w:r>
      <w:r w:rsidR="00C74B6F" w:rsidRPr="006B2410">
        <w:rPr>
          <w:rFonts w:ascii="Times New Roman" w:hAnsi="Times New Roman" w:cs="Times New Roman"/>
          <w:sz w:val="24"/>
          <w:szCs w:val="24"/>
        </w:rPr>
        <w:t xml:space="preserve">two revised schedules of payment </w:t>
      </w:r>
      <w:r w:rsidR="00DE297D" w:rsidRPr="006B2410">
        <w:rPr>
          <w:rFonts w:ascii="Times New Roman" w:hAnsi="Times New Roman" w:cs="Times New Roman"/>
          <w:sz w:val="24"/>
          <w:szCs w:val="24"/>
        </w:rPr>
        <w:t>entitled “Scheduled Distr</w:t>
      </w:r>
      <w:r w:rsidR="00F8497B" w:rsidRPr="006B2410">
        <w:rPr>
          <w:rFonts w:ascii="Times New Roman" w:hAnsi="Times New Roman" w:cs="Times New Roman"/>
          <w:sz w:val="24"/>
          <w:szCs w:val="24"/>
        </w:rPr>
        <w:t>ibution of Expenditure”</w:t>
      </w:r>
      <w:r w:rsidR="00C74B6F" w:rsidRPr="006B2410">
        <w:rPr>
          <w:rFonts w:ascii="Times New Roman" w:hAnsi="Times New Roman" w:cs="Times New Roman"/>
          <w:sz w:val="24"/>
          <w:szCs w:val="24"/>
        </w:rPr>
        <w:t>. The firs</w:t>
      </w:r>
      <w:r w:rsidR="00013159" w:rsidRPr="006B2410">
        <w:rPr>
          <w:rFonts w:ascii="Times New Roman" w:hAnsi="Times New Roman" w:cs="Times New Roman"/>
          <w:sz w:val="24"/>
          <w:szCs w:val="24"/>
        </w:rPr>
        <w:t>t, Revision 1a, appears on p 153</w:t>
      </w:r>
      <w:r w:rsidR="00C74B6F" w:rsidRPr="006B2410">
        <w:rPr>
          <w:rFonts w:ascii="Times New Roman" w:hAnsi="Times New Roman" w:cs="Times New Roman"/>
          <w:sz w:val="24"/>
          <w:szCs w:val="24"/>
        </w:rPr>
        <w:t xml:space="preserve"> while the second, </w:t>
      </w:r>
      <w:r w:rsidR="00013159" w:rsidRPr="006B2410">
        <w:rPr>
          <w:rFonts w:ascii="Times New Roman" w:hAnsi="Times New Roman" w:cs="Times New Roman"/>
          <w:sz w:val="24"/>
          <w:szCs w:val="24"/>
        </w:rPr>
        <w:t>Revision 1c, is on p 140</w:t>
      </w:r>
      <w:r w:rsidR="00C74B6F" w:rsidRPr="006B2410">
        <w:rPr>
          <w:rFonts w:ascii="Times New Roman" w:hAnsi="Times New Roman" w:cs="Times New Roman"/>
          <w:sz w:val="24"/>
          <w:szCs w:val="24"/>
        </w:rPr>
        <w:t>.  These two are more detailed than that of 20 June 2011. They contain similar headings and items. They both cover the period October 2011 to March 2014. Under the P&amp;G heading are three items of “start-up cost</w:t>
      </w:r>
      <w:r w:rsidR="00194E7B" w:rsidRPr="006B2410">
        <w:rPr>
          <w:rFonts w:ascii="Times New Roman" w:hAnsi="Times New Roman" w:cs="Times New Roman"/>
          <w:sz w:val="24"/>
          <w:szCs w:val="24"/>
        </w:rPr>
        <w:t>”</w:t>
      </w:r>
      <w:r w:rsidR="00C74B6F" w:rsidRPr="006B2410">
        <w:rPr>
          <w:rFonts w:ascii="Times New Roman" w:hAnsi="Times New Roman" w:cs="Times New Roman"/>
          <w:sz w:val="24"/>
          <w:szCs w:val="24"/>
        </w:rPr>
        <w:t xml:space="preserve">, </w:t>
      </w:r>
      <w:r w:rsidR="00194E7B" w:rsidRPr="006B2410">
        <w:rPr>
          <w:rFonts w:ascii="Times New Roman" w:hAnsi="Times New Roman" w:cs="Times New Roman"/>
          <w:sz w:val="24"/>
          <w:szCs w:val="24"/>
        </w:rPr>
        <w:t>“</w:t>
      </w:r>
      <w:r w:rsidR="00C74B6F" w:rsidRPr="006B2410">
        <w:rPr>
          <w:rFonts w:ascii="Times New Roman" w:hAnsi="Times New Roman" w:cs="Times New Roman"/>
          <w:sz w:val="24"/>
          <w:szCs w:val="24"/>
        </w:rPr>
        <w:t>time</w:t>
      </w:r>
      <w:r w:rsidR="00C53148" w:rsidRPr="006B2410">
        <w:rPr>
          <w:rFonts w:ascii="Times New Roman" w:hAnsi="Times New Roman" w:cs="Times New Roman"/>
          <w:sz w:val="24"/>
          <w:szCs w:val="24"/>
        </w:rPr>
        <w:t>-related</w:t>
      </w:r>
      <w:r w:rsidR="00194E7B" w:rsidRPr="006B2410">
        <w:rPr>
          <w:rFonts w:ascii="Times New Roman" w:hAnsi="Times New Roman" w:cs="Times New Roman"/>
          <w:sz w:val="24"/>
          <w:szCs w:val="24"/>
        </w:rPr>
        <w:t>”</w:t>
      </w:r>
      <w:r w:rsidR="00C53148" w:rsidRPr="006B2410">
        <w:rPr>
          <w:rFonts w:ascii="Times New Roman" w:hAnsi="Times New Roman" w:cs="Times New Roman"/>
          <w:sz w:val="24"/>
          <w:szCs w:val="24"/>
        </w:rPr>
        <w:t xml:space="preserve"> and </w:t>
      </w:r>
      <w:r w:rsidR="00194E7B" w:rsidRPr="006B2410">
        <w:rPr>
          <w:rFonts w:ascii="Times New Roman" w:hAnsi="Times New Roman" w:cs="Times New Roman"/>
          <w:sz w:val="24"/>
          <w:szCs w:val="24"/>
        </w:rPr>
        <w:t>“</w:t>
      </w:r>
      <w:r w:rsidR="00C53148" w:rsidRPr="006B2410">
        <w:rPr>
          <w:rFonts w:ascii="Times New Roman" w:hAnsi="Times New Roman" w:cs="Times New Roman"/>
          <w:sz w:val="24"/>
          <w:szCs w:val="24"/>
        </w:rPr>
        <w:t>contingency” while “Direct Roadworks encompass 9 rural and 9 urban sectors covering the length and breadth of the whole road network. The number and names of the “Toll Plaza Works” were unchanged.  While the contract price remained constant, the allocation of the payments differed in each of the three schedules.</w:t>
      </w:r>
      <w:r w:rsidR="00803B03" w:rsidRPr="006B2410">
        <w:rPr>
          <w:rFonts w:ascii="Times New Roman" w:hAnsi="Times New Roman" w:cs="Times New Roman"/>
          <w:sz w:val="24"/>
          <w:szCs w:val="24"/>
        </w:rPr>
        <w:t xml:space="preserve"> In Revision 1a, the total amount allocated to P&amp;G was US$87 752 000 comprised of US$54m allocated to </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start-up costs</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 xml:space="preserve">, US$28 623 000 to </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time-related</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 xml:space="preserve"> and US$ 4 950 000 to </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contingency</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 xml:space="preserve">. The figures for Revision 1c were US$ 76 200 000 comprised of US$53 250 000 for </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start-up costs</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 xml:space="preserve">, US$ 18 000 000 for </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time-related</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 xml:space="preserve"> and US$4 950 000 for </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contingency</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 xml:space="preserve">. The </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start-up cost</w:t>
      </w:r>
      <w:r w:rsidR="007344CC" w:rsidRPr="006B2410">
        <w:rPr>
          <w:rFonts w:ascii="Times New Roman" w:hAnsi="Times New Roman" w:cs="Times New Roman"/>
          <w:sz w:val="24"/>
          <w:szCs w:val="24"/>
        </w:rPr>
        <w:t>”</w:t>
      </w:r>
      <w:r w:rsidR="00803B03" w:rsidRPr="006B2410">
        <w:rPr>
          <w:rFonts w:ascii="Times New Roman" w:hAnsi="Times New Roman" w:cs="Times New Roman"/>
          <w:sz w:val="24"/>
          <w:szCs w:val="24"/>
        </w:rPr>
        <w:t xml:space="preserve"> was again a once-off </w:t>
      </w:r>
      <w:r w:rsidR="001804BA" w:rsidRPr="006B2410">
        <w:rPr>
          <w:rFonts w:ascii="Times New Roman" w:hAnsi="Times New Roman" w:cs="Times New Roman"/>
          <w:sz w:val="24"/>
          <w:szCs w:val="24"/>
        </w:rPr>
        <w:t>payment due</w:t>
      </w:r>
      <w:r w:rsidR="00803B03" w:rsidRPr="006B2410">
        <w:rPr>
          <w:rFonts w:ascii="Times New Roman" w:hAnsi="Times New Roman" w:cs="Times New Roman"/>
          <w:sz w:val="24"/>
          <w:szCs w:val="24"/>
        </w:rPr>
        <w:t xml:space="preserve"> in October 2011 while the other items were evenly spread over the tenure of the contract. The total </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Direct Roadworks</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 xml:space="preserve"> were US$ 100 278 000 in Revision 1a and US$ 111 650 000 in Revision 1c. The payments for the </w:t>
      </w:r>
      <w:r w:rsidR="00194E7B" w:rsidRPr="006B2410">
        <w:rPr>
          <w:rFonts w:ascii="Times New Roman" w:hAnsi="Times New Roman" w:cs="Times New Roman"/>
          <w:sz w:val="24"/>
          <w:szCs w:val="24"/>
        </w:rPr>
        <w:t>“</w:t>
      </w:r>
      <w:r w:rsidR="00803B03" w:rsidRPr="006B2410">
        <w:rPr>
          <w:rFonts w:ascii="Times New Roman" w:hAnsi="Times New Roman" w:cs="Times New Roman"/>
          <w:sz w:val="24"/>
          <w:szCs w:val="24"/>
        </w:rPr>
        <w:t>Toll Plaza Works</w:t>
      </w:r>
      <w:r w:rsidR="00194E7B" w:rsidRPr="006B2410">
        <w:rPr>
          <w:rFonts w:ascii="Times New Roman" w:hAnsi="Times New Roman" w:cs="Times New Roman"/>
          <w:sz w:val="24"/>
          <w:szCs w:val="24"/>
        </w:rPr>
        <w:t>”</w:t>
      </w:r>
      <w:r w:rsidR="001804BA" w:rsidRPr="006B2410">
        <w:rPr>
          <w:rFonts w:ascii="Times New Roman" w:hAnsi="Times New Roman" w:cs="Times New Roman"/>
          <w:sz w:val="24"/>
          <w:szCs w:val="24"/>
        </w:rPr>
        <w:t xml:space="preserve"> of US$18 750 000</w:t>
      </w:r>
      <w:r w:rsidR="00803B03" w:rsidRPr="006B2410">
        <w:rPr>
          <w:rFonts w:ascii="Times New Roman" w:hAnsi="Times New Roman" w:cs="Times New Roman"/>
          <w:sz w:val="24"/>
          <w:szCs w:val="24"/>
        </w:rPr>
        <w:t xml:space="preserve"> were the same in each Revision</w:t>
      </w:r>
      <w:r w:rsidR="001804BA" w:rsidRPr="006B2410">
        <w:rPr>
          <w:rFonts w:ascii="Times New Roman" w:hAnsi="Times New Roman" w:cs="Times New Roman"/>
          <w:sz w:val="24"/>
          <w:szCs w:val="24"/>
        </w:rPr>
        <w:t xml:space="preserve">. </w:t>
      </w:r>
    </w:p>
    <w:p w:rsidR="00A61418" w:rsidRPr="006B2410" w:rsidRDefault="00A779EA"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It was common ground that the contract price was in the sum of US$206 660 000 and was to be paid “at the times and in the manner prescribed in the contract.” Further, that the parties to the contract agreed on a schedule of payments</w:t>
      </w:r>
      <w:r w:rsidR="00020BD7">
        <w:rPr>
          <w:rFonts w:ascii="Times New Roman" w:hAnsi="Times New Roman" w:cs="Times New Roman"/>
          <w:sz w:val="24"/>
          <w:szCs w:val="24"/>
        </w:rPr>
        <w:t>,</w:t>
      </w:r>
      <w:r w:rsidRPr="006B2410">
        <w:rPr>
          <w:rFonts w:ascii="Times New Roman" w:hAnsi="Times New Roman" w:cs="Times New Roman"/>
          <w:sz w:val="24"/>
          <w:szCs w:val="24"/>
        </w:rPr>
        <w:t xml:space="preserve"> which set out the amounts that would be paid as well as the timing of the payments.</w:t>
      </w:r>
      <w:r w:rsidR="00F7703F" w:rsidRPr="006B2410">
        <w:rPr>
          <w:rFonts w:ascii="Times New Roman" w:hAnsi="Times New Roman" w:cs="Times New Roman"/>
          <w:sz w:val="24"/>
          <w:szCs w:val="24"/>
        </w:rPr>
        <w:t xml:space="preserve"> </w:t>
      </w:r>
      <w:r w:rsidR="005F2037">
        <w:rPr>
          <w:rFonts w:ascii="Times New Roman" w:hAnsi="Times New Roman" w:cs="Times New Roman"/>
          <w:sz w:val="24"/>
          <w:szCs w:val="24"/>
        </w:rPr>
        <w:t>On 5</w:t>
      </w:r>
      <w:r w:rsidR="00E649F7" w:rsidRPr="006B2410">
        <w:rPr>
          <w:rFonts w:ascii="Times New Roman" w:hAnsi="Times New Roman" w:cs="Times New Roman"/>
          <w:sz w:val="24"/>
          <w:szCs w:val="24"/>
        </w:rPr>
        <w:t xml:space="preserve"> October 2011 the appellant received payment of US$50 384 500 of the US$54 m drawdown from the Lender, which constituted approxima</w:t>
      </w:r>
      <w:r w:rsidR="00EE4FE3" w:rsidRPr="006B2410">
        <w:rPr>
          <w:rFonts w:ascii="Times New Roman" w:hAnsi="Times New Roman" w:cs="Times New Roman"/>
          <w:sz w:val="24"/>
          <w:szCs w:val="24"/>
        </w:rPr>
        <w:t>tely 25% of the contract price.</w:t>
      </w:r>
    </w:p>
    <w:p w:rsidR="002803A7" w:rsidRPr="006B2410" w:rsidRDefault="00A61418"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w:t>
      </w:r>
      <w:r w:rsidR="007D582A" w:rsidRPr="006B2410">
        <w:rPr>
          <w:rFonts w:ascii="Times New Roman" w:hAnsi="Times New Roman" w:cs="Times New Roman"/>
          <w:sz w:val="24"/>
          <w:szCs w:val="24"/>
        </w:rPr>
        <w:t xml:space="preserve">main factual dispute was whether the drawdowns constituted upfront payments or </w:t>
      </w:r>
      <w:r w:rsidR="002803A7" w:rsidRPr="006B2410">
        <w:rPr>
          <w:rFonts w:ascii="Times New Roman" w:hAnsi="Times New Roman" w:cs="Times New Roman"/>
          <w:sz w:val="24"/>
          <w:szCs w:val="24"/>
        </w:rPr>
        <w:t xml:space="preserve">not. A sub-issue that arises from the main issue is whether </w:t>
      </w:r>
      <w:r w:rsidR="00016DDA" w:rsidRPr="006B2410">
        <w:rPr>
          <w:rFonts w:ascii="Times New Roman" w:hAnsi="Times New Roman" w:cs="Times New Roman"/>
          <w:sz w:val="24"/>
          <w:szCs w:val="24"/>
        </w:rPr>
        <w:t>measurement or certification</w:t>
      </w:r>
      <w:r w:rsidR="002803A7" w:rsidRPr="006B2410">
        <w:rPr>
          <w:rFonts w:ascii="Times New Roman" w:hAnsi="Times New Roman" w:cs="Times New Roman"/>
          <w:sz w:val="24"/>
          <w:szCs w:val="24"/>
        </w:rPr>
        <w:t xml:space="preserve"> precipitated the drawdowns. The other minor issu</w:t>
      </w:r>
      <w:r w:rsidR="00016DDA" w:rsidRPr="006B2410">
        <w:rPr>
          <w:rFonts w:ascii="Times New Roman" w:hAnsi="Times New Roman" w:cs="Times New Roman"/>
          <w:sz w:val="24"/>
          <w:szCs w:val="24"/>
        </w:rPr>
        <w:t>es were whether the second draw</w:t>
      </w:r>
      <w:r w:rsidR="002803A7" w:rsidRPr="006B2410">
        <w:rPr>
          <w:rFonts w:ascii="Times New Roman" w:hAnsi="Times New Roman" w:cs="Times New Roman"/>
          <w:sz w:val="24"/>
          <w:szCs w:val="24"/>
        </w:rPr>
        <w:t xml:space="preserve">down only occurred on 2 July 2012 and whether the contract commenced in May 2012 and ended on 17 December 2014. It is prudent to deal with the minor issues first. </w:t>
      </w:r>
    </w:p>
    <w:p w:rsidR="002803A7" w:rsidRPr="006B2410" w:rsidRDefault="002803A7" w:rsidP="00810332">
      <w:pPr>
        <w:jc w:val="both"/>
        <w:rPr>
          <w:rFonts w:ascii="Times New Roman" w:hAnsi="Times New Roman" w:cs="Times New Roman"/>
          <w:i/>
          <w:sz w:val="24"/>
          <w:szCs w:val="24"/>
        </w:rPr>
      </w:pPr>
      <w:r w:rsidRPr="006B2410">
        <w:rPr>
          <w:rFonts w:ascii="Times New Roman" w:hAnsi="Times New Roman" w:cs="Times New Roman"/>
          <w:i/>
          <w:sz w:val="24"/>
          <w:szCs w:val="24"/>
        </w:rPr>
        <w:t>Whether the contract commenced in May 2012 and ended on 17 December 2014.</w:t>
      </w:r>
    </w:p>
    <w:p w:rsidR="002803A7" w:rsidRPr="006B2410" w:rsidRDefault="004F712D" w:rsidP="00BC338F">
      <w:pPr>
        <w:spacing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The date of commencement of the contract agreement is prescribed in sub-clause 1.1.3.2, which states:</w:t>
      </w:r>
    </w:p>
    <w:p w:rsidR="001F73C4" w:rsidRPr="00BC338F" w:rsidRDefault="004F712D" w:rsidP="00BC338F">
      <w:pPr>
        <w:spacing w:line="240" w:lineRule="auto"/>
        <w:ind w:left="720"/>
        <w:jc w:val="both"/>
        <w:rPr>
          <w:rFonts w:ascii="Times New Roman" w:hAnsi="Times New Roman" w:cs="Times New Roman"/>
        </w:rPr>
      </w:pPr>
      <w:r w:rsidRPr="006B2410">
        <w:rPr>
          <w:rFonts w:ascii="Times New Roman" w:hAnsi="Times New Roman" w:cs="Times New Roman"/>
          <w:sz w:val="24"/>
          <w:szCs w:val="24"/>
        </w:rPr>
        <w:lastRenderedPageBreak/>
        <w:t>“</w:t>
      </w:r>
      <w:r w:rsidRPr="00BC338F">
        <w:rPr>
          <w:rFonts w:ascii="Times New Roman" w:hAnsi="Times New Roman" w:cs="Times New Roman"/>
        </w:rPr>
        <w:t xml:space="preserve">Commencement Date” means the commencement date of the Contract Agreement as a whole </w:t>
      </w:r>
      <w:r w:rsidRPr="00BC338F">
        <w:rPr>
          <w:rFonts w:ascii="Times New Roman" w:hAnsi="Times New Roman" w:cs="Times New Roman"/>
          <w:b/>
        </w:rPr>
        <w:t>and</w:t>
      </w:r>
      <w:r w:rsidR="001F73C4" w:rsidRPr="00BC338F">
        <w:rPr>
          <w:rFonts w:ascii="Times New Roman" w:hAnsi="Times New Roman" w:cs="Times New Roman"/>
          <w:b/>
        </w:rPr>
        <w:t xml:space="preserve"> </w:t>
      </w:r>
      <w:r w:rsidR="001F73C4" w:rsidRPr="00BC338F">
        <w:rPr>
          <w:rFonts w:ascii="Times New Roman" w:hAnsi="Times New Roman" w:cs="Times New Roman"/>
        </w:rPr>
        <w:t>the commencement date to perform the W</w:t>
      </w:r>
      <w:r w:rsidR="00386496" w:rsidRPr="00BC338F">
        <w:rPr>
          <w:rFonts w:ascii="Times New Roman" w:hAnsi="Times New Roman" w:cs="Times New Roman"/>
        </w:rPr>
        <w:t xml:space="preserve">orks in respect of any section </w:t>
      </w:r>
      <w:r w:rsidR="001F73C4" w:rsidRPr="00BC338F">
        <w:rPr>
          <w:rFonts w:ascii="Times New Roman" w:hAnsi="Times New Roman" w:cs="Times New Roman"/>
        </w:rPr>
        <w:t>shall be the date of commencement of the Works in respect of the Section that is decided upon by the Contractor in consultation with the Employer, provided that the necessary permits, licences and approvals as required by the Laws (has) been obtained to enable the Works to be executed and completed. The Contractor shall only be required to commence the Works once the necessary permits, licences and approvals as required by the Laws have been obtained.”</w:t>
      </w:r>
    </w:p>
    <w:p w:rsidR="00AF526C" w:rsidRPr="006B2410" w:rsidRDefault="001F73C4"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The appellant averred that the commencement of the Project was delayed to May 2012 because the Client was awaiting the requisite permits, licences</w:t>
      </w:r>
      <w:r w:rsidR="004D10E9" w:rsidRPr="006B2410">
        <w:rPr>
          <w:rFonts w:ascii="Times New Roman" w:hAnsi="Times New Roman" w:cs="Times New Roman"/>
          <w:sz w:val="24"/>
          <w:szCs w:val="24"/>
        </w:rPr>
        <w:t xml:space="preserve"> or approvals for the exemption to the Contractor for the payment of</w:t>
      </w:r>
      <w:r w:rsidRPr="006B2410">
        <w:rPr>
          <w:rFonts w:ascii="Times New Roman" w:hAnsi="Times New Roman" w:cs="Times New Roman"/>
          <w:sz w:val="24"/>
          <w:szCs w:val="24"/>
        </w:rPr>
        <w:t xml:space="preserve"> duties to import </w:t>
      </w:r>
      <w:r w:rsidR="004D10E9" w:rsidRPr="006B2410">
        <w:rPr>
          <w:rFonts w:ascii="Times New Roman" w:hAnsi="Times New Roman" w:cs="Times New Roman"/>
          <w:sz w:val="24"/>
          <w:szCs w:val="24"/>
        </w:rPr>
        <w:t>goods and to export the Contractor’s equipment on completion of the contract.</w:t>
      </w:r>
      <w:r w:rsidR="00386496" w:rsidRPr="006B2410">
        <w:rPr>
          <w:rFonts w:ascii="Times New Roman" w:hAnsi="Times New Roman" w:cs="Times New Roman"/>
          <w:sz w:val="24"/>
          <w:szCs w:val="24"/>
        </w:rPr>
        <w:t xml:space="preserve"> The respondent pleaded ignorance of this averment and averred that the contract appeared to have commenced in 2010.</w:t>
      </w:r>
      <w:r w:rsidR="004016E9" w:rsidRPr="006B2410">
        <w:rPr>
          <w:rFonts w:ascii="Times New Roman" w:hAnsi="Times New Roman" w:cs="Times New Roman"/>
          <w:sz w:val="24"/>
          <w:szCs w:val="24"/>
        </w:rPr>
        <w:t xml:space="preserve"> </w:t>
      </w:r>
    </w:p>
    <w:p w:rsidR="004638A9" w:rsidRDefault="00386496" w:rsidP="00BC338F">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I am satisfied that the commencement of the Contract Agreement was not delayed to May 2012 as averred by the appellant for two reasons. The first arises from the definition of commencement date. It is in two parts. The first relates to the commencement of the whole contract and the secon</w:t>
      </w:r>
      <w:r w:rsidR="00665363" w:rsidRPr="006B2410">
        <w:rPr>
          <w:rFonts w:ascii="Times New Roman" w:hAnsi="Times New Roman" w:cs="Times New Roman"/>
          <w:sz w:val="24"/>
          <w:szCs w:val="24"/>
        </w:rPr>
        <w:t xml:space="preserve">d, </w:t>
      </w:r>
      <w:r w:rsidR="005F2830" w:rsidRPr="006B2410">
        <w:rPr>
          <w:rFonts w:ascii="Times New Roman" w:hAnsi="Times New Roman" w:cs="Times New Roman"/>
          <w:sz w:val="24"/>
          <w:szCs w:val="24"/>
        </w:rPr>
        <w:t>the W</w:t>
      </w:r>
      <w:r w:rsidRPr="006B2410">
        <w:rPr>
          <w:rFonts w:ascii="Times New Roman" w:hAnsi="Times New Roman" w:cs="Times New Roman"/>
          <w:sz w:val="24"/>
          <w:szCs w:val="24"/>
        </w:rPr>
        <w:t xml:space="preserve">orks in respect of each section. </w:t>
      </w:r>
      <w:r w:rsidR="005F2830" w:rsidRPr="006B2410">
        <w:rPr>
          <w:rFonts w:ascii="Times New Roman" w:hAnsi="Times New Roman" w:cs="Times New Roman"/>
          <w:sz w:val="24"/>
          <w:szCs w:val="24"/>
        </w:rPr>
        <w:t xml:space="preserve"> The first witness conceded under cross examination that the contract agreement did not commence with the physical Works on sections but with designing a contract plan of action or programme.</w:t>
      </w:r>
      <w:r w:rsidR="00665363" w:rsidRPr="006B2410">
        <w:rPr>
          <w:rFonts w:ascii="Times New Roman" w:hAnsi="Times New Roman" w:cs="Times New Roman"/>
          <w:sz w:val="24"/>
          <w:szCs w:val="24"/>
        </w:rPr>
        <w:t xml:space="preserve"> </w:t>
      </w:r>
    </w:p>
    <w:p w:rsidR="00006481" w:rsidRPr="006B2410" w:rsidRDefault="008158A2"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Notwithstanding that he limited the prior first drawdown works to ground investigations and the setting up of a local office to the US$6m provided by ZINARA, I am satisfied for the reason</w:t>
      </w:r>
      <w:r w:rsidR="00F02B83">
        <w:rPr>
          <w:rFonts w:ascii="Times New Roman" w:hAnsi="Times New Roman" w:cs="Times New Roman"/>
          <w:sz w:val="24"/>
          <w:szCs w:val="24"/>
        </w:rPr>
        <w:t>s</w:t>
      </w:r>
      <w:r w:rsidRPr="006B2410">
        <w:rPr>
          <w:rFonts w:ascii="Times New Roman" w:hAnsi="Times New Roman" w:cs="Times New Roman"/>
          <w:sz w:val="24"/>
          <w:szCs w:val="24"/>
        </w:rPr>
        <w:t xml:space="preserve"> below that both physical and non-physical work commenced before the October 2011 drawdown. </w:t>
      </w:r>
      <w:r w:rsidR="00665363" w:rsidRPr="006B2410">
        <w:rPr>
          <w:rFonts w:ascii="Times New Roman" w:hAnsi="Times New Roman" w:cs="Times New Roman"/>
          <w:sz w:val="24"/>
          <w:szCs w:val="24"/>
        </w:rPr>
        <w:t xml:space="preserve">The second reason was that the appellant assumed and continued with the preceding establishment and start-up functions commenced by both its holding company and the South African subsidiary of the South African holding company. It was common cause that ZINARA was the majority shareholder while Mauritius, the appellant’s holding company, was a minority shareholder in the Employer. The inevitable conclusion I draw from </w:t>
      </w:r>
      <w:r w:rsidR="008A2A43" w:rsidRPr="006B2410">
        <w:rPr>
          <w:rFonts w:ascii="Times New Roman" w:hAnsi="Times New Roman" w:cs="Times New Roman"/>
          <w:sz w:val="24"/>
          <w:szCs w:val="24"/>
        </w:rPr>
        <w:t>these</w:t>
      </w:r>
      <w:r w:rsidR="005366D2" w:rsidRPr="006B2410">
        <w:rPr>
          <w:rFonts w:ascii="Times New Roman" w:hAnsi="Times New Roman" w:cs="Times New Roman"/>
          <w:sz w:val="24"/>
          <w:szCs w:val="24"/>
        </w:rPr>
        <w:t xml:space="preserve"> corporate linkages </w:t>
      </w:r>
      <w:r w:rsidR="008A2A43" w:rsidRPr="006B2410">
        <w:rPr>
          <w:rFonts w:ascii="Times New Roman" w:hAnsi="Times New Roman" w:cs="Times New Roman"/>
          <w:sz w:val="24"/>
          <w:szCs w:val="24"/>
        </w:rPr>
        <w:t>and t</w:t>
      </w:r>
      <w:r w:rsidR="00290378" w:rsidRPr="006B2410">
        <w:rPr>
          <w:rFonts w:ascii="Times New Roman" w:hAnsi="Times New Roman" w:cs="Times New Roman"/>
          <w:sz w:val="24"/>
          <w:szCs w:val="24"/>
        </w:rPr>
        <w:t xml:space="preserve">he agreement concluded between </w:t>
      </w:r>
      <w:r w:rsidR="008A2A43" w:rsidRPr="006B2410">
        <w:rPr>
          <w:rFonts w:ascii="Times New Roman" w:hAnsi="Times New Roman" w:cs="Times New Roman"/>
          <w:sz w:val="24"/>
          <w:szCs w:val="24"/>
        </w:rPr>
        <w:t>ZINARA and the South African subsidiary</w:t>
      </w:r>
      <w:r w:rsidR="00290378" w:rsidRPr="006B2410">
        <w:rPr>
          <w:rFonts w:ascii="Times New Roman" w:hAnsi="Times New Roman" w:cs="Times New Roman"/>
          <w:sz w:val="24"/>
          <w:szCs w:val="24"/>
        </w:rPr>
        <w:t xml:space="preserve"> </w:t>
      </w:r>
      <w:r w:rsidR="008A2A43" w:rsidRPr="006B2410">
        <w:rPr>
          <w:rFonts w:ascii="Times New Roman" w:hAnsi="Times New Roman" w:cs="Times New Roman"/>
          <w:sz w:val="24"/>
          <w:szCs w:val="24"/>
        </w:rPr>
        <w:t>referred to in the letter of 20 June 2011 was that those preceding functions were done for the benefit and expense of the as yet unborn appellant. This position was furth</w:t>
      </w:r>
      <w:r w:rsidR="00290378" w:rsidRPr="006B2410">
        <w:rPr>
          <w:rFonts w:ascii="Times New Roman" w:hAnsi="Times New Roman" w:cs="Times New Roman"/>
          <w:sz w:val="24"/>
          <w:szCs w:val="24"/>
        </w:rPr>
        <w:t xml:space="preserve">er affirmed by the appellant’s </w:t>
      </w:r>
      <w:r w:rsidR="008A2A43" w:rsidRPr="006B2410">
        <w:rPr>
          <w:rFonts w:ascii="Times New Roman" w:hAnsi="Times New Roman" w:cs="Times New Roman"/>
          <w:sz w:val="24"/>
          <w:szCs w:val="24"/>
        </w:rPr>
        <w:t>tax consultant in the letter to the respondent of 24 June 2016</w:t>
      </w:r>
      <w:r w:rsidR="00AB1FCE" w:rsidRPr="006B2410">
        <w:rPr>
          <w:rStyle w:val="FootnoteReference"/>
          <w:rFonts w:ascii="Times New Roman" w:hAnsi="Times New Roman" w:cs="Times New Roman"/>
          <w:sz w:val="24"/>
          <w:szCs w:val="24"/>
        </w:rPr>
        <w:footnoteReference w:id="7"/>
      </w:r>
      <w:r w:rsidR="008A2A43" w:rsidRPr="006B2410">
        <w:rPr>
          <w:rFonts w:ascii="Times New Roman" w:hAnsi="Times New Roman" w:cs="Times New Roman"/>
          <w:sz w:val="24"/>
          <w:szCs w:val="24"/>
        </w:rPr>
        <w:t xml:space="preserve">, which intimated that the purchase of tolling equipment by another wholly owned South African subsidiary of the South African holding company at the special request and instance of ZINARA was paid for by the funds that were later drawn down from the development bank </w:t>
      </w:r>
      <w:r w:rsidR="00290378" w:rsidRPr="006B2410">
        <w:rPr>
          <w:rFonts w:ascii="Times New Roman" w:hAnsi="Times New Roman" w:cs="Times New Roman"/>
          <w:sz w:val="24"/>
          <w:szCs w:val="24"/>
        </w:rPr>
        <w:t>for the account of the Employer.</w:t>
      </w:r>
      <w:r w:rsidR="008A2A43" w:rsidRPr="006B2410">
        <w:rPr>
          <w:rFonts w:ascii="Times New Roman" w:hAnsi="Times New Roman" w:cs="Times New Roman"/>
          <w:sz w:val="24"/>
          <w:szCs w:val="24"/>
        </w:rPr>
        <w:t xml:space="preserve"> </w:t>
      </w:r>
      <w:r w:rsidR="005803D9" w:rsidRPr="006B2410">
        <w:rPr>
          <w:rFonts w:ascii="Times New Roman" w:hAnsi="Times New Roman" w:cs="Times New Roman"/>
          <w:sz w:val="24"/>
          <w:szCs w:val="24"/>
        </w:rPr>
        <w:t xml:space="preserve">Again, this position was </w:t>
      </w:r>
      <w:r w:rsidR="005803D9" w:rsidRPr="006B2410">
        <w:rPr>
          <w:rFonts w:ascii="Times New Roman" w:hAnsi="Times New Roman" w:cs="Times New Roman"/>
          <w:sz w:val="24"/>
          <w:szCs w:val="24"/>
        </w:rPr>
        <w:lastRenderedPageBreak/>
        <w:t>also affirmed by the c</w:t>
      </w:r>
      <w:r w:rsidR="005366D2" w:rsidRPr="006B2410">
        <w:rPr>
          <w:rFonts w:ascii="Times New Roman" w:hAnsi="Times New Roman" w:cs="Times New Roman"/>
          <w:sz w:val="24"/>
          <w:szCs w:val="24"/>
        </w:rPr>
        <w:t xml:space="preserve">ontents of </w:t>
      </w:r>
      <w:r w:rsidR="005803D9" w:rsidRPr="006B2410">
        <w:rPr>
          <w:rFonts w:ascii="Times New Roman" w:hAnsi="Times New Roman" w:cs="Times New Roman"/>
          <w:sz w:val="24"/>
          <w:szCs w:val="24"/>
        </w:rPr>
        <w:t>exh</w:t>
      </w:r>
      <w:r w:rsidR="00CA4D62">
        <w:rPr>
          <w:rFonts w:ascii="Times New Roman" w:hAnsi="Times New Roman" w:cs="Times New Roman"/>
          <w:sz w:val="24"/>
          <w:szCs w:val="24"/>
        </w:rPr>
        <w:t>ibit</w:t>
      </w:r>
      <w:r w:rsidR="005803D9" w:rsidRPr="006B2410">
        <w:rPr>
          <w:rFonts w:ascii="Times New Roman" w:hAnsi="Times New Roman" w:cs="Times New Roman"/>
          <w:sz w:val="24"/>
          <w:szCs w:val="24"/>
        </w:rPr>
        <w:t xml:space="preserve"> 1, the graph produced by the first witness, which attributed stated amounts of revenue, costs, net profit and cumulative cash to the appellant in Oc</w:t>
      </w:r>
      <w:r w:rsidR="005366D2" w:rsidRPr="006B2410">
        <w:rPr>
          <w:rFonts w:ascii="Times New Roman" w:hAnsi="Times New Roman" w:cs="Times New Roman"/>
          <w:sz w:val="24"/>
          <w:szCs w:val="24"/>
        </w:rPr>
        <w:t>tober 2010 and December 2010;</w:t>
      </w:r>
      <w:r w:rsidR="005803D9" w:rsidRPr="006B2410">
        <w:rPr>
          <w:rFonts w:ascii="Times New Roman" w:hAnsi="Times New Roman" w:cs="Times New Roman"/>
          <w:sz w:val="24"/>
          <w:szCs w:val="24"/>
        </w:rPr>
        <w:t xml:space="preserve"> a time before its formation. The self-same graph attributed the same lines of revenue and expenditure to the appellant from October 2010 to July 201</w:t>
      </w:r>
      <w:r w:rsidR="00006481" w:rsidRPr="006B2410">
        <w:rPr>
          <w:rFonts w:ascii="Times New Roman" w:hAnsi="Times New Roman" w:cs="Times New Roman"/>
          <w:sz w:val="24"/>
          <w:szCs w:val="24"/>
        </w:rPr>
        <w:t>1 and even up to September 2011</w:t>
      </w:r>
      <w:r w:rsidR="005803D9" w:rsidRPr="006B2410">
        <w:rPr>
          <w:rFonts w:ascii="Times New Roman" w:hAnsi="Times New Roman" w:cs="Times New Roman"/>
          <w:sz w:val="24"/>
          <w:szCs w:val="24"/>
        </w:rPr>
        <w:t xml:space="preserve">, </w:t>
      </w:r>
      <w:r w:rsidR="00006481" w:rsidRPr="006B2410">
        <w:rPr>
          <w:rFonts w:ascii="Times New Roman" w:hAnsi="Times New Roman" w:cs="Times New Roman"/>
          <w:sz w:val="24"/>
          <w:szCs w:val="24"/>
        </w:rPr>
        <w:t xml:space="preserve">which periods were prior to the conclusion of the contract on 4 August 2011 and the first drawdown in October 2011, respectively. </w:t>
      </w:r>
    </w:p>
    <w:p w:rsidR="00290378" w:rsidRPr="006B2410" w:rsidRDefault="00290378" w:rsidP="003D1FED">
      <w:pPr>
        <w:spacing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It is for these reasons that I am satisfied that the contract agreement did not commence in May 2012 as contended by the appellant but at a much earlier date, possibly prior to the contract agreement date of 4 August 2011. </w:t>
      </w:r>
    </w:p>
    <w:p w:rsidR="009E5DD0" w:rsidRPr="006B2410" w:rsidRDefault="009E5DD0" w:rsidP="001F73C4">
      <w:pPr>
        <w:jc w:val="both"/>
        <w:rPr>
          <w:rFonts w:ascii="Times New Roman" w:hAnsi="Times New Roman" w:cs="Times New Roman"/>
          <w:i/>
          <w:sz w:val="24"/>
          <w:szCs w:val="24"/>
        </w:rPr>
      </w:pPr>
      <w:r w:rsidRPr="006B2410">
        <w:rPr>
          <w:rFonts w:ascii="Times New Roman" w:hAnsi="Times New Roman" w:cs="Times New Roman"/>
          <w:i/>
          <w:sz w:val="24"/>
          <w:szCs w:val="24"/>
        </w:rPr>
        <w:t>Assessment of the first witness</w:t>
      </w:r>
    </w:p>
    <w:p w:rsidR="002A50CC" w:rsidRPr="006B2410" w:rsidRDefault="009E5DD0"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He was intimately involved</w:t>
      </w:r>
      <w:r w:rsidR="00875656" w:rsidRPr="006B2410">
        <w:rPr>
          <w:rFonts w:ascii="Times New Roman" w:hAnsi="Times New Roman" w:cs="Times New Roman"/>
          <w:sz w:val="24"/>
          <w:szCs w:val="24"/>
        </w:rPr>
        <w:t xml:space="preserve"> in the formation </w:t>
      </w:r>
      <w:r w:rsidR="004A3567">
        <w:rPr>
          <w:rFonts w:ascii="Times New Roman" w:hAnsi="Times New Roman" w:cs="Times New Roman"/>
          <w:sz w:val="24"/>
          <w:szCs w:val="24"/>
        </w:rPr>
        <w:t>of the contract</w:t>
      </w:r>
      <w:r w:rsidR="00875656" w:rsidRPr="006B2410">
        <w:rPr>
          <w:rFonts w:ascii="Times New Roman" w:hAnsi="Times New Roman" w:cs="Times New Roman"/>
          <w:sz w:val="24"/>
          <w:szCs w:val="24"/>
        </w:rPr>
        <w:t xml:space="preserve"> but did not appear to have been closely connected with its implementation</w:t>
      </w:r>
      <w:r w:rsidR="003E109B" w:rsidRPr="006B2410">
        <w:rPr>
          <w:rFonts w:ascii="Times New Roman" w:hAnsi="Times New Roman" w:cs="Times New Roman"/>
          <w:sz w:val="24"/>
          <w:szCs w:val="24"/>
        </w:rPr>
        <w:t xml:space="preserve">. I agree with the observation made by Mr </w:t>
      </w:r>
      <w:r w:rsidR="003E109B" w:rsidRPr="006B2410">
        <w:rPr>
          <w:rFonts w:ascii="Times New Roman" w:hAnsi="Times New Roman" w:cs="Times New Roman"/>
          <w:i/>
          <w:sz w:val="24"/>
          <w:szCs w:val="24"/>
        </w:rPr>
        <w:t>Magwaliba</w:t>
      </w:r>
      <w:r w:rsidR="004C6714" w:rsidRPr="006B2410">
        <w:rPr>
          <w:rFonts w:ascii="Times New Roman" w:hAnsi="Times New Roman" w:cs="Times New Roman"/>
          <w:i/>
          <w:sz w:val="24"/>
          <w:szCs w:val="24"/>
        </w:rPr>
        <w:t>,</w:t>
      </w:r>
      <w:r w:rsidR="004C6714" w:rsidRPr="006B2410">
        <w:rPr>
          <w:rFonts w:ascii="Times New Roman" w:hAnsi="Times New Roman" w:cs="Times New Roman"/>
          <w:sz w:val="24"/>
          <w:szCs w:val="24"/>
        </w:rPr>
        <w:t xml:space="preserve"> for the respondent, </w:t>
      </w:r>
      <w:r w:rsidR="003E109B" w:rsidRPr="006B2410">
        <w:rPr>
          <w:rFonts w:ascii="Times New Roman" w:hAnsi="Times New Roman" w:cs="Times New Roman"/>
          <w:sz w:val="24"/>
          <w:szCs w:val="24"/>
        </w:rPr>
        <w:t xml:space="preserve">in his written heads of argument that he was reticent to talk about the contract. The main reason was that his testimony was at variance with some of the provisions of </w:t>
      </w:r>
      <w:r w:rsidR="006124D4" w:rsidRPr="006B2410">
        <w:rPr>
          <w:rFonts w:ascii="Times New Roman" w:hAnsi="Times New Roman" w:cs="Times New Roman"/>
          <w:sz w:val="24"/>
          <w:szCs w:val="24"/>
        </w:rPr>
        <w:t>the contract. He vehemently sta</w:t>
      </w:r>
      <w:r w:rsidR="003E109B" w:rsidRPr="006B2410">
        <w:rPr>
          <w:rFonts w:ascii="Times New Roman" w:hAnsi="Times New Roman" w:cs="Times New Roman"/>
          <w:sz w:val="24"/>
          <w:szCs w:val="24"/>
        </w:rPr>
        <w:t>ted</w:t>
      </w:r>
      <w:r w:rsidR="006124D4" w:rsidRPr="006B2410">
        <w:rPr>
          <w:rFonts w:ascii="Times New Roman" w:hAnsi="Times New Roman" w:cs="Times New Roman"/>
          <w:sz w:val="24"/>
          <w:szCs w:val="24"/>
        </w:rPr>
        <w:t>, contrary to the</w:t>
      </w:r>
      <w:r w:rsidR="003E109B" w:rsidRPr="006B2410">
        <w:rPr>
          <w:rFonts w:ascii="Times New Roman" w:hAnsi="Times New Roman" w:cs="Times New Roman"/>
          <w:sz w:val="24"/>
          <w:szCs w:val="24"/>
        </w:rPr>
        <w:t xml:space="preserve"> available documentation and all reason that measurement of progress ever took place in a bid to divorce the drawdowns to measured progress. Mr </w:t>
      </w:r>
      <w:r w:rsidR="003E109B" w:rsidRPr="006B2410">
        <w:rPr>
          <w:rFonts w:ascii="Times New Roman" w:hAnsi="Times New Roman" w:cs="Times New Roman"/>
          <w:i/>
          <w:sz w:val="24"/>
          <w:szCs w:val="24"/>
        </w:rPr>
        <w:t>Tivadar</w:t>
      </w:r>
      <w:r w:rsidR="002835B0" w:rsidRPr="006B2410">
        <w:rPr>
          <w:rFonts w:ascii="Times New Roman" w:hAnsi="Times New Roman" w:cs="Times New Roman"/>
          <w:i/>
          <w:sz w:val="24"/>
          <w:szCs w:val="24"/>
        </w:rPr>
        <w:t xml:space="preserve">, </w:t>
      </w:r>
      <w:r w:rsidR="002835B0" w:rsidRPr="006B2410">
        <w:rPr>
          <w:rFonts w:ascii="Times New Roman" w:hAnsi="Times New Roman" w:cs="Times New Roman"/>
          <w:sz w:val="24"/>
          <w:szCs w:val="24"/>
        </w:rPr>
        <w:t>for the appellant,</w:t>
      </w:r>
      <w:r w:rsidR="003E109B" w:rsidRPr="006B2410">
        <w:rPr>
          <w:rFonts w:ascii="Times New Roman" w:hAnsi="Times New Roman" w:cs="Times New Roman"/>
          <w:sz w:val="24"/>
          <w:szCs w:val="24"/>
        </w:rPr>
        <w:t xml:space="preserve"> had great difficult in reconciling the witness</w:t>
      </w:r>
      <w:r w:rsidR="002A50CC" w:rsidRPr="006B2410">
        <w:rPr>
          <w:rFonts w:ascii="Times New Roman" w:hAnsi="Times New Roman" w:cs="Times New Roman"/>
          <w:sz w:val="24"/>
          <w:szCs w:val="24"/>
        </w:rPr>
        <w:t>’s</w:t>
      </w:r>
      <w:r w:rsidR="003E109B" w:rsidRPr="006B2410">
        <w:rPr>
          <w:rFonts w:ascii="Times New Roman" w:hAnsi="Times New Roman" w:cs="Times New Roman"/>
          <w:sz w:val="24"/>
          <w:szCs w:val="24"/>
        </w:rPr>
        <w:t xml:space="preserve"> testimony with the contractor’s progress certificate</w:t>
      </w:r>
      <w:r w:rsidR="002A50CC" w:rsidRPr="006B2410">
        <w:rPr>
          <w:rFonts w:ascii="Times New Roman" w:hAnsi="Times New Roman" w:cs="Times New Roman"/>
          <w:sz w:val="24"/>
          <w:szCs w:val="24"/>
        </w:rPr>
        <w:t>s</w:t>
      </w:r>
      <w:r w:rsidR="003E109B" w:rsidRPr="006B2410">
        <w:rPr>
          <w:rFonts w:ascii="Times New Roman" w:hAnsi="Times New Roman" w:cs="Times New Roman"/>
          <w:sz w:val="24"/>
          <w:szCs w:val="24"/>
        </w:rPr>
        <w:t xml:space="preserve"> and the third party verification letter from the Employer</w:t>
      </w:r>
      <w:r w:rsidR="004C1D15">
        <w:rPr>
          <w:rFonts w:ascii="Times New Roman" w:hAnsi="Times New Roman" w:cs="Times New Roman"/>
          <w:sz w:val="24"/>
          <w:szCs w:val="24"/>
        </w:rPr>
        <w:t xml:space="preserve"> of 24 November 2015</w:t>
      </w:r>
      <w:r w:rsidR="003E109B" w:rsidRPr="006B2410">
        <w:rPr>
          <w:rFonts w:ascii="Times New Roman" w:hAnsi="Times New Roman" w:cs="Times New Roman"/>
          <w:sz w:val="24"/>
          <w:szCs w:val="24"/>
        </w:rPr>
        <w:t xml:space="preserve">, which effectively established that the drawdowns where made in place of the work done.  </w:t>
      </w:r>
      <w:r w:rsidR="008071FE" w:rsidRPr="006B2410">
        <w:rPr>
          <w:rFonts w:ascii="Times New Roman" w:hAnsi="Times New Roman" w:cs="Times New Roman"/>
          <w:sz w:val="24"/>
          <w:szCs w:val="24"/>
        </w:rPr>
        <w:t xml:space="preserve">He wrongly attributed payment of US$6m to the Employer </w:t>
      </w:r>
      <w:r w:rsidR="002A50CC" w:rsidRPr="006B2410">
        <w:rPr>
          <w:rFonts w:ascii="Times New Roman" w:hAnsi="Times New Roman" w:cs="Times New Roman"/>
          <w:sz w:val="24"/>
          <w:szCs w:val="24"/>
        </w:rPr>
        <w:t>contrary to documents on record, which showed the active role of</w:t>
      </w:r>
      <w:r w:rsidR="008071FE" w:rsidRPr="006B2410">
        <w:rPr>
          <w:rFonts w:ascii="Times New Roman" w:hAnsi="Times New Roman" w:cs="Times New Roman"/>
          <w:sz w:val="24"/>
          <w:szCs w:val="24"/>
        </w:rPr>
        <w:t xml:space="preserve"> ZINARA long before the time frames he gave. </w:t>
      </w:r>
      <w:r w:rsidR="007F599C">
        <w:rPr>
          <w:rFonts w:ascii="Times New Roman" w:hAnsi="Times New Roman" w:cs="Times New Roman"/>
          <w:sz w:val="24"/>
          <w:szCs w:val="24"/>
        </w:rPr>
        <w:t xml:space="preserve">He was never able to explain why if the appellant was adversely affected by late payments it was able to on-lend interest free loans to related entities in the sum of US$ 16 699 399 in 2011, US$24 796 255 in 2012, US$8 001 117 in 2013 and US$26 404 000 in 2014 instead of utilising these amounts as working capital. The use to which these amounts were put had </w:t>
      </w:r>
      <w:r w:rsidR="00FC402A">
        <w:rPr>
          <w:rFonts w:ascii="Times New Roman" w:hAnsi="Times New Roman" w:cs="Times New Roman"/>
          <w:sz w:val="24"/>
          <w:szCs w:val="24"/>
        </w:rPr>
        <w:t xml:space="preserve">all </w:t>
      </w:r>
      <w:r w:rsidR="007F599C">
        <w:rPr>
          <w:rFonts w:ascii="Times New Roman" w:hAnsi="Times New Roman" w:cs="Times New Roman"/>
          <w:sz w:val="24"/>
          <w:szCs w:val="24"/>
        </w:rPr>
        <w:t xml:space="preserve">the hallmarks of earned income rather “income in advance”. In any event, the witness failed to appreciate that the outstanding US$19 186 375.61 </w:t>
      </w:r>
      <w:r w:rsidR="00872D26">
        <w:rPr>
          <w:rFonts w:ascii="Times New Roman" w:hAnsi="Times New Roman" w:cs="Times New Roman"/>
          <w:sz w:val="24"/>
          <w:szCs w:val="24"/>
        </w:rPr>
        <w:t xml:space="preserve">that appellant was owed by the Employer at the end of the contract had nothing to do with unpaid or delayed scheduled payments but with variations that arose during the execution of the Project, as intimated in the verification response of 24 November 2015. </w:t>
      </w:r>
    </w:p>
    <w:p w:rsidR="00290378" w:rsidRPr="006B2410" w:rsidRDefault="00290378" w:rsidP="003D1FED">
      <w:pPr>
        <w:spacing w:after="0" w:line="360" w:lineRule="auto"/>
        <w:jc w:val="both"/>
        <w:rPr>
          <w:rFonts w:ascii="Times New Roman" w:hAnsi="Times New Roman" w:cs="Times New Roman"/>
          <w:i/>
          <w:sz w:val="24"/>
          <w:szCs w:val="24"/>
        </w:rPr>
      </w:pPr>
      <w:r w:rsidRPr="006B2410">
        <w:rPr>
          <w:rFonts w:ascii="Times New Roman" w:hAnsi="Times New Roman" w:cs="Times New Roman"/>
          <w:i/>
          <w:sz w:val="24"/>
          <w:szCs w:val="24"/>
        </w:rPr>
        <w:t>Whether the first drawdown occurred on 2 July 2012</w:t>
      </w:r>
    </w:p>
    <w:p w:rsidR="00343BF8" w:rsidRPr="006B2410" w:rsidRDefault="00290378"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lastRenderedPageBreak/>
        <w:t>The onus to establish on a balance of probabilities that the appellant received a further payment in respect of the project on 2 July 2012 lay on the appellant.  It did not adduce any evidence to this effect. Rather, that aver</w:t>
      </w:r>
      <w:r w:rsidR="006912F6" w:rsidRPr="006B2410">
        <w:rPr>
          <w:rFonts w:ascii="Times New Roman" w:hAnsi="Times New Roman" w:cs="Times New Roman"/>
          <w:sz w:val="24"/>
          <w:szCs w:val="24"/>
        </w:rPr>
        <w:t>m</w:t>
      </w:r>
      <w:r w:rsidRPr="006B2410">
        <w:rPr>
          <w:rFonts w:ascii="Times New Roman" w:hAnsi="Times New Roman" w:cs="Times New Roman"/>
          <w:sz w:val="24"/>
          <w:szCs w:val="24"/>
        </w:rPr>
        <w:t>ent contradicted the information in the summaries of the drawdown applications</w:t>
      </w:r>
      <w:r w:rsidR="00121FDD" w:rsidRPr="006B2410">
        <w:rPr>
          <w:rFonts w:ascii="Times New Roman" w:hAnsi="Times New Roman" w:cs="Times New Roman"/>
          <w:sz w:val="24"/>
          <w:szCs w:val="24"/>
        </w:rPr>
        <w:t xml:space="preserve"> that emanated from the appellant</w:t>
      </w:r>
      <w:r w:rsidRPr="006B2410">
        <w:rPr>
          <w:rFonts w:ascii="Times New Roman" w:hAnsi="Times New Roman" w:cs="Times New Roman"/>
          <w:sz w:val="24"/>
          <w:szCs w:val="24"/>
        </w:rPr>
        <w:t xml:space="preserve">, specifically on </w:t>
      </w:r>
      <w:r w:rsidR="00121FDD" w:rsidRPr="006B2410">
        <w:rPr>
          <w:rFonts w:ascii="Times New Roman" w:hAnsi="Times New Roman" w:cs="Times New Roman"/>
          <w:sz w:val="24"/>
          <w:szCs w:val="24"/>
        </w:rPr>
        <w:t>Revision 1c on pages 141 and 154 of the r 11 documents pertaining to the Lender’s summarised values per month</w:t>
      </w:r>
      <w:r w:rsidR="003A1E14" w:rsidRPr="006B2410">
        <w:rPr>
          <w:rFonts w:ascii="Times New Roman" w:hAnsi="Times New Roman" w:cs="Times New Roman"/>
          <w:sz w:val="24"/>
          <w:szCs w:val="24"/>
        </w:rPr>
        <w:t>, which recorded that certificates 2 and 3 were paid out in May and June 2012</w:t>
      </w:r>
      <w:r w:rsidR="00725AAD" w:rsidRPr="006B2410">
        <w:rPr>
          <w:rFonts w:ascii="Times New Roman" w:hAnsi="Times New Roman" w:cs="Times New Roman"/>
          <w:sz w:val="24"/>
          <w:szCs w:val="24"/>
        </w:rPr>
        <w:t xml:space="preserve"> and the drawdown in July 2012 constituted the 4</w:t>
      </w:r>
      <w:r w:rsidR="00725AAD" w:rsidRPr="006B2410">
        <w:rPr>
          <w:rFonts w:ascii="Times New Roman" w:hAnsi="Times New Roman" w:cs="Times New Roman"/>
          <w:sz w:val="24"/>
          <w:szCs w:val="24"/>
          <w:vertAlign w:val="superscript"/>
        </w:rPr>
        <w:t>th</w:t>
      </w:r>
      <w:r w:rsidR="00725AAD" w:rsidRPr="006B2410">
        <w:rPr>
          <w:rFonts w:ascii="Times New Roman" w:hAnsi="Times New Roman" w:cs="Times New Roman"/>
          <w:sz w:val="24"/>
          <w:szCs w:val="24"/>
        </w:rPr>
        <w:t xml:space="preserve"> withdrawal.</w:t>
      </w:r>
      <w:r w:rsidR="002A50CC" w:rsidRPr="006B2410">
        <w:rPr>
          <w:rFonts w:ascii="Times New Roman" w:hAnsi="Times New Roman" w:cs="Times New Roman"/>
          <w:sz w:val="24"/>
          <w:szCs w:val="24"/>
        </w:rPr>
        <w:t xml:space="preserve"> The summary provided by the Employer in the response to the third party verification letter on page 181 of the r 11 documents also contradicted the assertion in the appellant’s</w:t>
      </w:r>
      <w:r w:rsidR="00C82B72">
        <w:rPr>
          <w:rFonts w:ascii="Times New Roman" w:hAnsi="Times New Roman" w:cs="Times New Roman"/>
          <w:sz w:val="24"/>
          <w:szCs w:val="24"/>
        </w:rPr>
        <w:t xml:space="preserve"> pleadings that the second draw</w:t>
      </w:r>
      <w:r w:rsidR="002A50CC" w:rsidRPr="006B2410">
        <w:rPr>
          <w:rFonts w:ascii="Times New Roman" w:hAnsi="Times New Roman" w:cs="Times New Roman"/>
          <w:sz w:val="24"/>
          <w:szCs w:val="24"/>
        </w:rPr>
        <w:t>down was met on 2 July 2012.</w:t>
      </w:r>
      <w:r w:rsidR="00343BF8" w:rsidRPr="006B2410">
        <w:rPr>
          <w:rFonts w:ascii="Times New Roman" w:hAnsi="Times New Roman" w:cs="Times New Roman"/>
          <w:sz w:val="24"/>
          <w:szCs w:val="24"/>
        </w:rPr>
        <w:t xml:space="preserve"> The testimony adduced by the quantity surveyor and backed by his own graph, exh 1, which was designed to establish that actual physical works commenced in July 2012, was, therefore, incorrect. </w:t>
      </w:r>
    </w:p>
    <w:p w:rsidR="00343BF8" w:rsidRPr="006B2410" w:rsidRDefault="00343BF8" w:rsidP="003D1FED">
      <w:pPr>
        <w:spacing w:after="0" w:line="240" w:lineRule="auto"/>
        <w:jc w:val="both"/>
        <w:rPr>
          <w:rFonts w:ascii="Times New Roman" w:hAnsi="Times New Roman" w:cs="Times New Roman"/>
          <w:sz w:val="24"/>
          <w:szCs w:val="24"/>
        </w:rPr>
      </w:pPr>
    </w:p>
    <w:p w:rsidR="006912F6" w:rsidRPr="006B2410" w:rsidRDefault="006912F6" w:rsidP="001F73C4">
      <w:pPr>
        <w:jc w:val="both"/>
        <w:rPr>
          <w:rFonts w:ascii="Times New Roman" w:hAnsi="Times New Roman" w:cs="Times New Roman"/>
          <w:i/>
          <w:sz w:val="24"/>
          <w:szCs w:val="24"/>
        </w:rPr>
      </w:pPr>
      <w:r w:rsidRPr="006B2410">
        <w:rPr>
          <w:rFonts w:ascii="Times New Roman" w:hAnsi="Times New Roman" w:cs="Times New Roman"/>
          <w:i/>
          <w:sz w:val="24"/>
          <w:szCs w:val="24"/>
        </w:rPr>
        <w:t xml:space="preserve">Whether the payment of the US$54 m and other subsequent drawdowns </w:t>
      </w:r>
      <w:r w:rsidR="00A56642" w:rsidRPr="006B2410">
        <w:rPr>
          <w:rFonts w:ascii="Times New Roman" w:hAnsi="Times New Roman" w:cs="Times New Roman"/>
          <w:i/>
          <w:sz w:val="24"/>
          <w:szCs w:val="24"/>
        </w:rPr>
        <w:t>were upfront</w:t>
      </w:r>
      <w:r w:rsidRPr="006B2410">
        <w:rPr>
          <w:rFonts w:ascii="Times New Roman" w:hAnsi="Times New Roman" w:cs="Times New Roman"/>
          <w:i/>
          <w:sz w:val="24"/>
          <w:szCs w:val="24"/>
        </w:rPr>
        <w:t xml:space="preserve"> payments</w:t>
      </w:r>
    </w:p>
    <w:p w:rsidR="0097691B" w:rsidRPr="006B2410" w:rsidRDefault="00AE031F"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There are two principles which guide me in the resolution of this defining issue.  The first relates to the sanctity of contracts and the second is the scientific principle that the end is created and known at the beginning</w:t>
      </w:r>
      <w:r w:rsidR="007104E9" w:rsidRPr="006B2410">
        <w:rPr>
          <w:rFonts w:ascii="Times New Roman" w:hAnsi="Times New Roman" w:cs="Times New Roman"/>
          <w:sz w:val="24"/>
          <w:szCs w:val="24"/>
        </w:rPr>
        <w:t>, confirmed in part by the testimony of the quantity surveyor by reference to what this “silver book” contract entailed. He testified that the employer demanded the design and implementation of a performance standard that would guarantee a 10 year life span for the completed road.</w:t>
      </w:r>
      <w:r w:rsidR="004425E5" w:rsidRPr="006B2410">
        <w:rPr>
          <w:rFonts w:ascii="Times New Roman" w:hAnsi="Times New Roman" w:cs="Times New Roman"/>
          <w:sz w:val="24"/>
          <w:szCs w:val="24"/>
        </w:rPr>
        <w:t xml:space="preserve"> </w:t>
      </w:r>
      <w:r w:rsidRPr="006B2410">
        <w:rPr>
          <w:rFonts w:ascii="Times New Roman" w:hAnsi="Times New Roman" w:cs="Times New Roman"/>
          <w:sz w:val="24"/>
          <w:szCs w:val="24"/>
        </w:rPr>
        <w:t xml:space="preserve"> The first is a fundamental principle of the law of contract. The second is foundational to all scientific endeavours such as the construction of a building or as </w:t>
      </w:r>
      <w:r w:rsidR="007104E9" w:rsidRPr="006B2410">
        <w:rPr>
          <w:rFonts w:ascii="Times New Roman" w:hAnsi="Times New Roman" w:cs="Times New Roman"/>
          <w:sz w:val="24"/>
          <w:szCs w:val="24"/>
        </w:rPr>
        <w:t>i</w:t>
      </w:r>
      <w:r w:rsidRPr="006B2410">
        <w:rPr>
          <w:rFonts w:ascii="Times New Roman" w:hAnsi="Times New Roman" w:cs="Times New Roman"/>
          <w:sz w:val="24"/>
          <w:szCs w:val="24"/>
        </w:rPr>
        <w:t>n this case</w:t>
      </w:r>
      <w:r w:rsidR="007104E9" w:rsidRPr="006B2410">
        <w:rPr>
          <w:rFonts w:ascii="Times New Roman" w:hAnsi="Times New Roman" w:cs="Times New Roman"/>
          <w:sz w:val="24"/>
          <w:szCs w:val="24"/>
        </w:rPr>
        <w:t>, a road.</w:t>
      </w:r>
      <w:r w:rsidRPr="006B2410">
        <w:rPr>
          <w:rFonts w:ascii="Times New Roman" w:hAnsi="Times New Roman" w:cs="Times New Roman"/>
          <w:sz w:val="24"/>
          <w:szCs w:val="24"/>
        </w:rPr>
        <w:t xml:space="preserve"> By the time the physical construction of a building commences, architectural designs would ha</w:t>
      </w:r>
      <w:r w:rsidR="00AD15BD">
        <w:rPr>
          <w:rFonts w:ascii="Times New Roman" w:hAnsi="Times New Roman" w:cs="Times New Roman"/>
          <w:sz w:val="24"/>
          <w:szCs w:val="24"/>
        </w:rPr>
        <w:t>ve been completed and would</w:t>
      </w:r>
      <w:r w:rsidRPr="006B2410">
        <w:rPr>
          <w:rFonts w:ascii="Times New Roman" w:hAnsi="Times New Roman" w:cs="Times New Roman"/>
          <w:sz w:val="24"/>
          <w:szCs w:val="24"/>
        </w:rPr>
        <w:t xml:space="preserve"> have </w:t>
      </w:r>
      <w:r w:rsidR="00AD15BD">
        <w:rPr>
          <w:rFonts w:ascii="Times New Roman" w:hAnsi="Times New Roman" w:cs="Times New Roman"/>
          <w:sz w:val="24"/>
          <w:szCs w:val="24"/>
        </w:rPr>
        <w:t xml:space="preserve">even </w:t>
      </w:r>
      <w:r w:rsidRPr="006B2410">
        <w:rPr>
          <w:rFonts w:ascii="Times New Roman" w:hAnsi="Times New Roman" w:cs="Times New Roman"/>
          <w:sz w:val="24"/>
          <w:szCs w:val="24"/>
        </w:rPr>
        <w:t xml:space="preserve">culminated in a miniature model building. The same principle applied with equal force to the commencement of the physical works in the execution and completion of the Roadworks and Tolling. </w:t>
      </w:r>
      <w:r w:rsidR="00374575" w:rsidRPr="006B2410">
        <w:rPr>
          <w:rFonts w:ascii="Times New Roman" w:hAnsi="Times New Roman" w:cs="Times New Roman"/>
          <w:sz w:val="24"/>
          <w:szCs w:val="24"/>
        </w:rPr>
        <w:t xml:space="preserve"> The design stage was pivotal. The six volumes that constituted the C</w:t>
      </w:r>
      <w:r w:rsidR="001F01F4" w:rsidRPr="006B2410">
        <w:rPr>
          <w:rFonts w:ascii="Times New Roman" w:hAnsi="Times New Roman" w:cs="Times New Roman"/>
          <w:sz w:val="24"/>
          <w:szCs w:val="24"/>
        </w:rPr>
        <w:t>ontract Agreement underpinned</w:t>
      </w:r>
      <w:r w:rsidR="00374575" w:rsidRPr="006B2410">
        <w:rPr>
          <w:rFonts w:ascii="Times New Roman" w:hAnsi="Times New Roman" w:cs="Times New Roman"/>
          <w:sz w:val="24"/>
          <w:szCs w:val="24"/>
        </w:rPr>
        <w:t xml:space="preserve"> this stage. It was variously described </w:t>
      </w:r>
      <w:r w:rsidR="002132B5" w:rsidRPr="006B2410">
        <w:rPr>
          <w:rFonts w:ascii="Times New Roman" w:hAnsi="Times New Roman" w:cs="Times New Roman"/>
          <w:sz w:val="24"/>
          <w:szCs w:val="24"/>
        </w:rPr>
        <w:t xml:space="preserve">by the appellant, its first witness and the CEO of the employer </w:t>
      </w:r>
      <w:r w:rsidR="00374575" w:rsidRPr="006B2410">
        <w:rPr>
          <w:rFonts w:ascii="Times New Roman" w:hAnsi="Times New Roman" w:cs="Times New Roman"/>
          <w:sz w:val="24"/>
          <w:szCs w:val="24"/>
        </w:rPr>
        <w:t>as the “establishment”, the “start-up”</w:t>
      </w:r>
      <w:r w:rsidR="008B045F" w:rsidRPr="006B2410">
        <w:rPr>
          <w:rFonts w:ascii="Times New Roman" w:hAnsi="Times New Roman" w:cs="Times New Roman"/>
          <w:sz w:val="24"/>
          <w:szCs w:val="24"/>
        </w:rPr>
        <w:t>, “project design work for project mobilisation and security for progress payments”</w:t>
      </w:r>
      <w:r w:rsidR="008B045F" w:rsidRPr="006B2410">
        <w:rPr>
          <w:rStyle w:val="FootnoteReference"/>
          <w:rFonts w:ascii="Times New Roman" w:hAnsi="Times New Roman" w:cs="Times New Roman"/>
          <w:sz w:val="24"/>
          <w:szCs w:val="24"/>
        </w:rPr>
        <w:footnoteReference w:id="8"/>
      </w:r>
      <w:r w:rsidR="008B045F" w:rsidRPr="006B2410">
        <w:rPr>
          <w:rFonts w:ascii="Times New Roman" w:hAnsi="Times New Roman" w:cs="Times New Roman"/>
          <w:sz w:val="24"/>
          <w:szCs w:val="24"/>
        </w:rPr>
        <w:t xml:space="preserve"> and</w:t>
      </w:r>
      <w:r w:rsidR="002132B5" w:rsidRPr="006B2410">
        <w:rPr>
          <w:rFonts w:ascii="Times New Roman" w:hAnsi="Times New Roman" w:cs="Times New Roman"/>
          <w:sz w:val="24"/>
          <w:szCs w:val="24"/>
        </w:rPr>
        <w:t xml:space="preserve"> “detailed </w:t>
      </w:r>
      <w:r w:rsidR="002132B5" w:rsidRPr="006B2410">
        <w:rPr>
          <w:rFonts w:ascii="Times New Roman" w:hAnsi="Times New Roman" w:cs="Times New Roman"/>
          <w:sz w:val="24"/>
          <w:szCs w:val="24"/>
        </w:rPr>
        <w:lastRenderedPageBreak/>
        <w:t>investigation phase for rapid start-up”</w:t>
      </w:r>
      <w:r w:rsidR="002132B5" w:rsidRPr="006B2410">
        <w:rPr>
          <w:rStyle w:val="FootnoteReference"/>
          <w:rFonts w:ascii="Times New Roman" w:hAnsi="Times New Roman" w:cs="Times New Roman"/>
          <w:sz w:val="24"/>
          <w:szCs w:val="24"/>
        </w:rPr>
        <w:footnoteReference w:id="9"/>
      </w:r>
      <w:r w:rsidR="002132B5" w:rsidRPr="006B2410">
        <w:rPr>
          <w:rFonts w:ascii="Times New Roman" w:hAnsi="Times New Roman" w:cs="Times New Roman"/>
          <w:sz w:val="24"/>
          <w:szCs w:val="24"/>
        </w:rPr>
        <w:t xml:space="preserve">. </w:t>
      </w:r>
      <w:r w:rsidR="00374575" w:rsidRPr="006B2410">
        <w:rPr>
          <w:rFonts w:ascii="Times New Roman" w:hAnsi="Times New Roman" w:cs="Times New Roman"/>
          <w:sz w:val="24"/>
          <w:szCs w:val="24"/>
        </w:rPr>
        <w:t xml:space="preserve">The physical works merely constituted the execution of a deliberately designed and planned programme. </w:t>
      </w:r>
      <w:r w:rsidRPr="006B2410">
        <w:rPr>
          <w:rFonts w:ascii="Times New Roman" w:hAnsi="Times New Roman" w:cs="Times New Roman"/>
          <w:sz w:val="24"/>
          <w:szCs w:val="24"/>
        </w:rPr>
        <w:t xml:space="preserve"> </w:t>
      </w:r>
    </w:p>
    <w:p w:rsidR="0097691B" w:rsidRPr="006B2410" w:rsidRDefault="0097691B"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It is on the basis of these principles that I explore the justifications for the contention made by the appellant that the drawdowns of US$ 24 752 222 in 2011, US$ 48 955 073 in 2012, US$ 40 876 887 in 2013 and US$ 403 481 in 2014 were upfront payments</w:t>
      </w:r>
      <w:r w:rsidR="00281F19" w:rsidRPr="006B2410">
        <w:rPr>
          <w:rFonts w:ascii="Times New Roman" w:hAnsi="Times New Roman" w:cs="Times New Roman"/>
          <w:sz w:val="24"/>
          <w:szCs w:val="24"/>
        </w:rPr>
        <w:t xml:space="preserve"> for which the appellant was entitled to and did elect to deduct from its taxable income future expenditure that it was going to incur in relation to this “income in advance”</w:t>
      </w:r>
      <w:r w:rsidRPr="006B2410">
        <w:rPr>
          <w:rFonts w:ascii="Times New Roman" w:hAnsi="Times New Roman" w:cs="Times New Roman"/>
          <w:sz w:val="24"/>
          <w:szCs w:val="24"/>
        </w:rPr>
        <w:t xml:space="preserve">. </w:t>
      </w:r>
    </w:p>
    <w:p w:rsidR="00966C48" w:rsidRPr="006B2410" w:rsidRDefault="0087583A"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first ground for justifying the contention was that the payments made </w:t>
      </w:r>
      <w:r w:rsidR="00660A26" w:rsidRPr="006B2410">
        <w:rPr>
          <w:rFonts w:ascii="Times New Roman" w:hAnsi="Times New Roman" w:cs="Times New Roman"/>
          <w:sz w:val="24"/>
          <w:szCs w:val="24"/>
        </w:rPr>
        <w:t xml:space="preserve">from </w:t>
      </w:r>
      <w:r w:rsidRPr="006B2410">
        <w:rPr>
          <w:rFonts w:ascii="Times New Roman" w:hAnsi="Times New Roman" w:cs="Times New Roman"/>
          <w:sz w:val="24"/>
          <w:szCs w:val="24"/>
        </w:rPr>
        <w:t xml:space="preserve">the drawdowns were </w:t>
      </w:r>
      <w:r w:rsidR="00660A26" w:rsidRPr="006B2410">
        <w:rPr>
          <w:rFonts w:ascii="Times New Roman" w:hAnsi="Times New Roman" w:cs="Times New Roman"/>
          <w:sz w:val="24"/>
          <w:szCs w:val="24"/>
        </w:rPr>
        <w:t>not for work done but upfront payments. The first witness said as much in his testimony. He even produced exhibit 1, the graph</w:t>
      </w:r>
      <w:r w:rsidR="00D4757D">
        <w:rPr>
          <w:rFonts w:ascii="Times New Roman" w:hAnsi="Times New Roman" w:cs="Times New Roman"/>
          <w:sz w:val="24"/>
          <w:szCs w:val="24"/>
        </w:rPr>
        <w:t>,</w:t>
      </w:r>
      <w:r w:rsidR="00660A26" w:rsidRPr="006B2410">
        <w:rPr>
          <w:rFonts w:ascii="Times New Roman" w:hAnsi="Times New Roman" w:cs="Times New Roman"/>
          <w:sz w:val="24"/>
          <w:szCs w:val="24"/>
        </w:rPr>
        <w:t xml:space="preserve"> to demonstrate that the actual costs incurred by the appellant were far below the payments made</w:t>
      </w:r>
      <w:r w:rsidR="00AD324F">
        <w:rPr>
          <w:rFonts w:ascii="Times New Roman" w:hAnsi="Times New Roman" w:cs="Times New Roman"/>
          <w:sz w:val="24"/>
          <w:szCs w:val="24"/>
        </w:rPr>
        <w:t xml:space="preserve"> at the commencement of the physical works and higher towards the end of the Project</w:t>
      </w:r>
      <w:r w:rsidR="00660A26" w:rsidRPr="006B2410">
        <w:rPr>
          <w:rFonts w:ascii="Times New Roman" w:hAnsi="Times New Roman" w:cs="Times New Roman"/>
          <w:sz w:val="24"/>
          <w:szCs w:val="24"/>
        </w:rPr>
        <w:t>.</w:t>
      </w:r>
      <w:r w:rsidR="00966C48" w:rsidRPr="006B2410">
        <w:rPr>
          <w:rFonts w:ascii="Times New Roman" w:hAnsi="Times New Roman" w:cs="Times New Roman"/>
          <w:sz w:val="24"/>
          <w:szCs w:val="24"/>
        </w:rPr>
        <w:t xml:space="preserve"> </w:t>
      </w:r>
      <w:r w:rsidR="00A33763" w:rsidRPr="006B2410">
        <w:rPr>
          <w:rFonts w:ascii="Times New Roman" w:hAnsi="Times New Roman" w:cs="Times New Roman"/>
          <w:sz w:val="24"/>
          <w:szCs w:val="24"/>
        </w:rPr>
        <w:t>The major hurdle that confronted the appellant was the contents of the 22 contractor’s certificates that it furnished with each drawdown application</w:t>
      </w:r>
      <w:r w:rsidR="009570F8" w:rsidRPr="006B2410">
        <w:rPr>
          <w:rStyle w:val="FootnoteReference"/>
          <w:rFonts w:ascii="Times New Roman" w:hAnsi="Times New Roman" w:cs="Times New Roman"/>
          <w:sz w:val="24"/>
          <w:szCs w:val="24"/>
        </w:rPr>
        <w:footnoteReference w:id="10"/>
      </w:r>
      <w:r w:rsidR="00A33763" w:rsidRPr="006B2410">
        <w:rPr>
          <w:rFonts w:ascii="Times New Roman" w:hAnsi="Times New Roman" w:cs="Times New Roman"/>
          <w:sz w:val="24"/>
          <w:szCs w:val="24"/>
        </w:rPr>
        <w:t xml:space="preserve">. It was common cause that </w:t>
      </w:r>
      <w:r w:rsidR="009570F8" w:rsidRPr="006B2410">
        <w:rPr>
          <w:rFonts w:ascii="Times New Roman" w:hAnsi="Times New Roman" w:cs="Times New Roman"/>
          <w:sz w:val="24"/>
          <w:szCs w:val="24"/>
        </w:rPr>
        <w:t xml:space="preserve">that </w:t>
      </w:r>
      <w:r w:rsidR="00A33763" w:rsidRPr="006B2410">
        <w:rPr>
          <w:rFonts w:ascii="Times New Roman" w:hAnsi="Times New Roman" w:cs="Times New Roman"/>
          <w:sz w:val="24"/>
          <w:szCs w:val="24"/>
        </w:rPr>
        <w:t xml:space="preserve">certificate constituted one of the forms approved by the employer. The other </w:t>
      </w:r>
      <w:r w:rsidR="008D684E">
        <w:rPr>
          <w:rFonts w:ascii="Times New Roman" w:hAnsi="Times New Roman" w:cs="Times New Roman"/>
          <w:sz w:val="24"/>
          <w:szCs w:val="24"/>
        </w:rPr>
        <w:t xml:space="preserve">forms </w:t>
      </w:r>
      <w:r w:rsidR="00A33763" w:rsidRPr="006B2410">
        <w:rPr>
          <w:rFonts w:ascii="Times New Roman" w:hAnsi="Times New Roman" w:cs="Times New Roman"/>
          <w:sz w:val="24"/>
          <w:szCs w:val="24"/>
        </w:rPr>
        <w:t xml:space="preserve">were shown in the contents of the 12 paged drawdown </w:t>
      </w:r>
      <w:r w:rsidR="009570F8" w:rsidRPr="006B2410">
        <w:rPr>
          <w:rFonts w:ascii="Times New Roman" w:hAnsi="Times New Roman" w:cs="Times New Roman"/>
          <w:sz w:val="24"/>
          <w:szCs w:val="24"/>
        </w:rPr>
        <w:t>application. These were drawdown schedule-Revision 1c, drawdown schedule summary values per month, Form</w:t>
      </w:r>
      <w:r w:rsidR="00966C48" w:rsidRPr="006B2410">
        <w:rPr>
          <w:rFonts w:ascii="Times New Roman" w:hAnsi="Times New Roman" w:cs="Times New Roman"/>
          <w:sz w:val="24"/>
          <w:szCs w:val="24"/>
        </w:rPr>
        <w:t xml:space="preserve"> </w:t>
      </w:r>
      <w:r w:rsidR="009570F8" w:rsidRPr="006B2410">
        <w:rPr>
          <w:rFonts w:ascii="Times New Roman" w:hAnsi="Times New Roman" w:cs="Times New Roman"/>
          <w:sz w:val="24"/>
          <w:szCs w:val="24"/>
        </w:rPr>
        <w:t>1: drawdown progress, Form 2a, measured progress. These forms together with the tax invoice, sector map and sector definitions constituted the full array of the documents that the appellant submitted to the employer and which the employer attached to its request for drawdown</w:t>
      </w:r>
      <w:r w:rsidR="00A33763" w:rsidRPr="006B2410">
        <w:rPr>
          <w:rFonts w:ascii="Times New Roman" w:hAnsi="Times New Roman" w:cs="Times New Roman"/>
          <w:sz w:val="24"/>
          <w:szCs w:val="24"/>
        </w:rPr>
        <w:t xml:space="preserve">. </w:t>
      </w:r>
      <w:r w:rsidR="00B430C1" w:rsidRPr="006B2410">
        <w:rPr>
          <w:rFonts w:ascii="Times New Roman" w:hAnsi="Times New Roman" w:cs="Times New Roman"/>
          <w:sz w:val="24"/>
          <w:szCs w:val="24"/>
        </w:rPr>
        <w:t>All the sampled contractor’s progres</w:t>
      </w:r>
      <w:r w:rsidR="00A90057" w:rsidRPr="006B2410">
        <w:rPr>
          <w:rFonts w:ascii="Times New Roman" w:hAnsi="Times New Roman" w:cs="Times New Roman"/>
          <w:sz w:val="24"/>
          <w:szCs w:val="24"/>
        </w:rPr>
        <w:t xml:space="preserve">s certificates, that is number </w:t>
      </w:r>
      <w:r w:rsidR="00B430C1" w:rsidRPr="006B2410">
        <w:rPr>
          <w:rFonts w:ascii="Times New Roman" w:hAnsi="Times New Roman" w:cs="Times New Roman"/>
          <w:sz w:val="24"/>
          <w:szCs w:val="24"/>
        </w:rPr>
        <w:t xml:space="preserve">7, 8, </w:t>
      </w:r>
      <w:r w:rsidR="00A90057" w:rsidRPr="006B2410">
        <w:rPr>
          <w:rFonts w:ascii="Times New Roman" w:hAnsi="Times New Roman" w:cs="Times New Roman"/>
          <w:sz w:val="24"/>
          <w:szCs w:val="24"/>
        </w:rPr>
        <w:t xml:space="preserve">and </w:t>
      </w:r>
      <w:r w:rsidR="00B430C1" w:rsidRPr="006B2410">
        <w:rPr>
          <w:rFonts w:ascii="Times New Roman" w:hAnsi="Times New Roman" w:cs="Times New Roman"/>
          <w:sz w:val="24"/>
          <w:szCs w:val="24"/>
        </w:rPr>
        <w:t xml:space="preserve">10 to 16 and 19 to 22 were compiled by the appellant and signed by the appellant, employer </w:t>
      </w:r>
      <w:r w:rsidR="00361F14" w:rsidRPr="006B2410">
        <w:rPr>
          <w:rFonts w:ascii="Times New Roman" w:hAnsi="Times New Roman" w:cs="Times New Roman"/>
          <w:sz w:val="24"/>
          <w:szCs w:val="24"/>
        </w:rPr>
        <w:t>and lender. Each</w:t>
      </w:r>
      <w:r w:rsidR="00916F82" w:rsidRPr="006B2410">
        <w:rPr>
          <w:rFonts w:ascii="Times New Roman" w:hAnsi="Times New Roman" w:cs="Times New Roman"/>
          <w:sz w:val="24"/>
          <w:szCs w:val="24"/>
        </w:rPr>
        <w:t xml:space="preserve"> certificate was based on the provisions of sub-clause 14.3</w:t>
      </w:r>
      <w:r w:rsidR="00A828FD" w:rsidRPr="006B2410">
        <w:rPr>
          <w:rFonts w:ascii="Times New Roman" w:hAnsi="Times New Roman" w:cs="Times New Roman"/>
          <w:sz w:val="24"/>
          <w:szCs w:val="24"/>
        </w:rPr>
        <w:t xml:space="preserve"> (a) to (f) of the C</w:t>
      </w:r>
      <w:r w:rsidR="00916F82" w:rsidRPr="006B2410">
        <w:rPr>
          <w:rFonts w:ascii="Times New Roman" w:hAnsi="Times New Roman" w:cs="Times New Roman"/>
          <w:sz w:val="24"/>
          <w:szCs w:val="24"/>
        </w:rPr>
        <w:t>ontract</w:t>
      </w:r>
      <w:r w:rsidR="00A828FD" w:rsidRPr="006B2410">
        <w:rPr>
          <w:rFonts w:ascii="Times New Roman" w:hAnsi="Times New Roman" w:cs="Times New Roman"/>
          <w:sz w:val="24"/>
          <w:szCs w:val="24"/>
        </w:rPr>
        <w:t xml:space="preserve"> Agreement</w:t>
      </w:r>
      <w:r w:rsidR="00916F82" w:rsidRPr="006B2410">
        <w:rPr>
          <w:rFonts w:ascii="Times New Roman" w:hAnsi="Times New Roman" w:cs="Times New Roman"/>
          <w:sz w:val="24"/>
          <w:szCs w:val="24"/>
        </w:rPr>
        <w:t xml:space="preserve">. The major headings of the certificate were “value of work” under which were listed P&amp;G, measured work, material on site, variation orders, advance payment and reduced payment. The other two headings were </w:t>
      </w:r>
      <w:r w:rsidR="0041502A">
        <w:rPr>
          <w:rFonts w:ascii="Times New Roman" w:hAnsi="Times New Roman" w:cs="Times New Roman"/>
          <w:sz w:val="24"/>
          <w:szCs w:val="24"/>
        </w:rPr>
        <w:t>“</w:t>
      </w:r>
      <w:r w:rsidR="00916F82" w:rsidRPr="006B2410">
        <w:rPr>
          <w:rFonts w:ascii="Times New Roman" w:hAnsi="Times New Roman" w:cs="Times New Roman"/>
          <w:sz w:val="24"/>
          <w:szCs w:val="24"/>
        </w:rPr>
        <w:t>escalation” and “deductions”, both of which had their own sub-headings under them. In all the certificates the appellant</w:t>
      </w:r>
      <w:r w:rsidR="00A828FD" w:rsidRPr="006B2410">
        <w:rPr>
          <w:rFonts w:ascii="Times New Roman" w:hAnsi="Times New Roman" w:cs="Times New Roman"/>
          <w:sz w:val="24"/>
          <w:szCs w:val="24"/>
        </w:rPr>
        <w:t xml:space="preserve"> deliberately inserted the amounts sought to be drawn down against “measured work” and painstakingly inserted “0.00” on </w:t>
      </w:r>
      <w:r w:rsidR="00966C48" w:rsidRPr="006B2410">
        <w:rPr>
          <w:rFonts w:ascii="Times New Roman" w:hAnsi="Times New Roman" w:cs="Times New Roman"/>
          <w:sz w:val="24"/>
          <w:szCs w:val="24"/>
        </w:rPr>
        <w:t>each of the other</w:t>
      </w:r>
      <w:r w:rsidR="00A828FD" w:rsidRPr="006B2410">
        <w:rPr>
          <w:rFonts w:ascii="Times New Roman" w:hAnsi="Times New Roman" w:cs="Times New Roman"/>
          <w:sz w:val="24"/>
          <w:szCs w:val="24"/>
        </w:rPr>
        <w:t xml:space="preserve"> sub-headings in the value for work segment</w:t>
      </w:r>
      <w:r w:rsidR="00966C48" w:rsidRPr="006B2410">
        <w:rPr>
          <w:rFonts w:ascii="Times New Roman" w:hAnsi="Times New Roman" w:cs="Times New Roman"/>
          <w:sz w:val="24"/>
          <w:szCs w:val="24"/>
        </w:rPr>
        <w:t>, but under reference of Schedule 1.</w:t>
      </w:r>
      <w:r w:rsidR="00A828FD" w:rsidRPr="006B2410">
        <w:rPr>
          <w:rFonts w:ascii="Times New Roman" w:hAnsi="Times New Roman" w:cs="Times New Roman"/>
          <w:sz w:val="24"/>
          <w:szCs w:val="24"/>
        </w:rPr>
        <w:t xml:space="preserve">  </w:t>
      </w:r>
    </w:p>
    <w:p w:rsidR="0087583A" w:rsidRPr="006B2410" w:rsidRDefault="00966C48"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The first witness averred that the certificate simply meant that the application was being made in terms of Schedule</w:t>
      </w:r>
      <w:r w:rsidR="00527D7C">
        <w:rPr>
          <w:rFonts w:ascii="Times New Roman" w:hAnsi="Times New Roman" w:cs="Times New Roman"/>
          <w:sz w:val="24"/>
          <w:szCs w:val="24"/>
        </w:rPr>
        <w:t xml:space="preserve"> </w:t>
      </w:r>
      <w:r w:rsidRPr="006B2410">
        <w:rPr>
          <w:rFonts w:ascii="Times New Roman" w:hAnsi="Times New Roman" w:cs="Times New Roman"/>
          <w:sz w:val="24"/>
          <w:szCs w:val="24"/>
        </w:rPr>
        <w:t xml:space="preserve">1, the agreed schedule for the time-related disbursements set </w:t>
      </w:r>
      <w:r w:rsidRPr="006B2410">
        <w:rPr>
          <w:rFonts w:ascii="Times New Roman" w:hAnsi="Times New Roman" w:cs="Times New Roman"/>
          <w:sz w:val="24"/>
          <w:szCs w:val="24"/>
        </w:rPr>
        <w:lastRenderedPageBreak/>
        <w:t xml:space="preserve">out in that schedule. </w:t>
      </w:r>
      <w:r w:rsidR="00EB688F" w:rsidRPr="006B2410">
        <w:rPr>
          <w:rFonts w:ascii="Times New Roman" w:hAnsi="Times New Roman" w:cs="Times New Roman"/>
          <w:sz w:val="24"/>
          <w:szCs w:val="24"/>
        </w:rPr>
        <w:t>He</w:t>
      </w:r>
      <w:r w:rsidRPr="006B2410">
        <w:rPr>
          <w:rFonts w:ascii="Times New Roman" w:hAnsi="Times New Roman" w:cs="Times New Roman"/>
          <w:sz w:val="24"/>
          <w:szCs w:val="24"/>
        </w:rPr>
        <w:t xml:space="preserve"> maintained that the insertion o</w:t>
      </w:r>
      <w:r w:rsidR="00323A5F">
        <w:rPr>
          <w:rFonts w:ascii="Times New Roman" w:hAnsi="Times New Roman" w:cs="Times New Roman"/>
          <w:sz w:val="24"/>
          <w:szCs w:val="24"/>
        </w:rPr>
        <w:t>f the amounts against “measured</w:t>
      </w:r>
      <w:r w:rsidRPr="006B2410">
        <w:rPr>
          <w:rFonts w:ascii="Times New Roman" w:hAnsi="Times New Roman" w:cs="Times New Roman"/>
          <w:sz w:val="24"/>
          <w:szCs w:val="24"/>
        </w:rPr>
        <w:t xml:space="preserve"> work</w:t>
      </w:r>
      <w:r w:rsidR="00323A5F">
        <w:rPr>
          <w:rFonts w:ascii="Times New Roman" w:hAnsi="Times New Roman" w:cs="Times New Roman"/>
          <w:sz w:val="24"/>
          <w:szCs w:val="24"/>
        </w:rPr>
        <w:t>”</w:t>
      </w:r>
      <w:r w:rsidRPr="006B2410">
        <w:rPr>
          <w:rFonts w:ascii="Times New Roman" w:hAnsi="Times New Roman" w:cs="Times New Roman"/>
          <w:sz w:val="24"/>
          <w:szCs w:val="24"/>
        </w:rPr>
        <w:t xml:space="preserve"> was not only a misnomer but also of no moment. In other words</w:t>
      </w:r>
      <w:r w:rsidR="00D40F0F" w:rsidRPr="006B2410">
        <w:rPr>
          <w:rFonts w:ascii="Times New Roman" w:hAnsi="Times New Roman" w:cs="Times New Roman"/>
          <w:sz w:val="24"/>
          <w:szCs w:val="24"/>
        </w:rPr>
        <w:t>,</w:t>
      </w:r>
      <w:r w:rsidRPr="006B2410">
        <w:rPr>
          <w:rFonts w:ascii="Times New Roman" w:hAnsi="Times New Roman" w:cs="Times New Roman"/>
          <w:sz w:val="24"/>
          <w:szCs w:val="24"/>
        </w:rPr>
        <w:t xml:space="preserve"> he asserted that the certificate did not mean what it</w:t>
      </w:r>
      <w:r w:rsidR="00561379" w:rsidRPr="006B2410">
        <w:rPr>
          <w:rFonts w:ascii="Times New Roman" w:hAnsi="Times New Roman" w:cs="Times New Roman"/>
          <w:sz w:val="24"/>
          <w:szCs w:val="24"/>
        </w:rPr>
        <w:t xml:space="preserve"> </w:t>
      </w:r>
      <w:r w:rsidRPr="006B2410">
        <w:rPr>
          <w:rFonts w:ascii="Times New Roman" w:hAnsi="Times New Roman" w:cs="Times New Roman"/>
          <w:sz w:val="24"/>
          <w:szCs w:val="24"/>
        </w:rPr>
        <w:t xml:space="preserve">said. </w:t>
      </w:r>
      <w:r w:rsidR="00561379" w:rsidRPr="006B2410">
        <w:rPr>
          <w:rFonts w:ascii="Times New Roman" w:hAnsi="Times New Roman" w:cs="Times New Roman"/>
          <w:sz w:val="24"/>
          <w:szCs w:val="24"/>
        </w:rPr>
        <w:t xml:space="preserve">I agree with Mr </w:t>
      </w:r>
      <w:r w:rsidR="00561379" w:rsidRPr="006B2410">
        <w:rPr>
          <w:rFonts w:ascii="Times New Roman" w:hAnsi="Times New Roman" w:cs="Times New Roman"/>
          <w:i/>
          <w:sz w:val="24"/>
          <w:szCs w:val="24"/>
        </w:rPr>
        <w:t>Magwaliba</w:t>
      </w:r>
      <w:r w:rsidR="00561379" w:rsidRPr="006B2410">
        <w:rPr>
          <w:rFonts w:ascii="Times New Roman" w:hAnsi="Times New Roman" w:cs="Times New Roman"/>
          <w:sz w:val="24"/>
          <w:szCs w:val="24"/>
        </w:rPr>
        <w:t xml:space="preserve"> that his explanation was disin</w:t>
      </w:r>
      <w:r w:rsidR="00D40F0F" w:rsidRPr="006B2410">
        <w:rPr>
          <w:rFonts w:ascii="Times New Roman" w:hAnsi="Times New Roman" w:cs="Times New Roman"/>
          <w:sz w:val="24"/>
          <w:szCs w:val="24"/>
        </w:rPr>
        <w:t>genuous. A closer reading of</w:t>
      </w:r>
      <w:r w:rsidR="00561379" w:rsidRPr="006B2410">
        <w:rPr>
          <w:rFonts w:ascii="Times New Roman" w:hAnsi="Times New Roman" w:cs="Times New Roman"/>
          <w:sz w:val="24"/>
          <w:szCs w:val="24"/>
        </w:rPr>
        <w:t xml:space="preserve"> clause 14 of the contract which dealt with contract price and payment clearly shows the error of his explanation. He termed the drawdowns that were in excess of appellant’s costs as income in advance, which he sought to distinguish from advance income provided for in sub-clause 14. 2 of the “General Conditions”.  It was common ground that sub-clause 14. 2 did not apply to the Contract Agreement. It was specifically excluded by the “Particular</w:t>
      </w:r>
      <w:r w:rsidR="0075008D" w:rsidRPr="006B2410">
        <w:rPr>
          <w:rFonts w:ascii="Times New Roman" w:hAnsi="Times New Roman" w:cs="Times New Roman"/>
          <w:sz w:val="24"/>
          <w:szCs w:val="24"/>
        </w:rPr>
        <w:t xml:space="preserve"> Conditions” which deigned it</w:t>
      </w:r>
      <w:r w:rsidR="00561379" w:rsidRPr="006B2410">
        <w:rPr>
          <w:rFonts w:ascii="Times New Roman" w:hAnsi="Times New Roman" w:cs="Times New Roman"/>
          <w:sz w:val="24"/>
          <w:szCs w:val="24"/>
        </w:rPr>
        <w:t xml:space="preserve"> a “No Clause” provision. </w:t>
      </w:r>
    </w:p>
    <w:p w:rsidR="004F6DD4" w:rsidRPr="006B2410" w:rsidRDefault="00AF6881"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nature of the advance payment contemplated by the excluded sub-clause was an interest free loan for mobilisation and design backed by the contractor’s </w:t>
      </w:r>
      <w:r w:rsidR="00542344" w:rsidRPr="006B2410">
        <w:rPr>
          <w:rFonts w:ascii="Times New Roman" w:hAnsi="Times New Roman" w:cs="Times New Roman"/>
          <w:sz w:val="24"/>
          <w:szCs w:val="24"/>
        </w:rPr>
        <w:t xml:space="preserve">guarantee and the terms stated in the pertinent Particular Conditions.  The application of the sub-clause was also specifically excluded if the amount of the advance was not stated in the Particular Conditions.  The payment of the first or only instalment was conditional upon receipt of an application for interim payments under clause 14.3, performance security and a guarantee in amounts and currency equal to the advance payment. </w:t>
      </w:r>
      <w:r w:rsidR="00430FB8" w:rsidRPr="006B2410">
        <w:rPr>
          <w:rFonts w:ascii="Times New Roman" w:hAnsi="Times New Roman" w:cs="Times New Roman"/>
          <w:sz w:val="24"/>
          <w:szCs w:val="24"/>
        </w:rPr>
        <w:t>It was repaid, if the relevant amortisation rate provided in the sub clause were applicable in the present case, in four equal instalments.</w:t>
      </w:r>
    </w:p>
    <w:p w:rsidR="0082752C" w:rsidRPr="006B2410" w:rsidRDefault="004F6DD4"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Now, on 20 June 2011, before the Contract Agreement was consummated, the appellant purportedly applied for an interim payment of US$54m. In the letter addressed to the lender on 27 June 2011, the Employer described the drawdown sought as “the advance of the aggregate amount of US$54m under the loan agreement.”</w:t>
      </w:r>
      <w:r w:rsidR="00430FB8" w:rsidRPr="006B2410">
        <w:rPr>
          <w:rFonts w:ascii="Times New Roman" w:hAnsi="Times New Roman" w:cs="Times New Roman"/>
          <w:sz w:val="24"/>
          <w:szCs w:val="24"/>
        </w:rPr>
        <w:t xml:space="preserve"> </w:t>
      </w:r>
      <w:r w:rsidRPr="006B2410">
        <w:rPr>
          <w:rFonts w:ascii="Times New Roman" w:hAnsi="Times New Roman" w:cs="Times New Roman"/>
          <w:sz w:val="24"/>
          <w:szCs w:val="24"/>
        </w:rPr>
        <w:t xml:space="preserve"> In the absence of the loan agreement it is not clear whether “the advance” was a term defined in the loan agreement or not. </w:t>
      </w:r>
      <w:r w:rsidR="007A3B04" w:rsidRPr="006B2410">
        <w:rPr>
          <w:rFonts w:ascii="Times New Roman" w:hAnsi="Times New Roman" w:cs="Times New Roman"/>
          <w:sz w:val="24"/>
          <w:szCs w:val="24"/>
        </w:rPr>
        <w:t xml:space="preserve">The appellant did not refer to these letters in its evidence, obviously because the letters could have been based on the excluded clause.  The payment was eventually provided to the appellant after the contract had come into effect. It was obviously not made in terms of the inoperable excluded clause. </w:t>
      </w:r>
    </w:p>
    <w:p w:rsidR="008730B0" w:rsidRPr="006B2410" w:rsidRDefault="007A3B04"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The payment could only have been paid on the basis of sub-clause 14.</w:t>
      </w:r>
      <w:r w:rsidR="00A4524D" w:rsidRPr="006B2410">
        <w:rPr>
          <w:rFonts w:ascii="Times New Roman" w:hAnsi="Times New Roman" w:cs="Times New Roman"/>
          <w:sz w:val="24"/>
          <w:szCs w:val="24"/>
        </w:rPr>
        <w:t>4</w:t>
      </w:r>
      <w:r w:rsidR="008730B0" w:rsidRPr="006B2410">
        <w:rPr>
          <w:rFonts w:ascii="Times New Roman" w:hAnsi="Times New Roman" w:cs="Times New Roman"/>
          <w:sz w:val="24"/>
          <w:szCs w:val="24"/>
        </w:rPr>
        <w:t xml:space="preserve"> (a) and (b),</w:t>
      </w:r>
      <w:r w:rsidR="00A4524D" w:rsidRPr="006B2410">
        <w:rPr>
          <w:rFonts w:ascii="Times New Roman" w:hAnsi="Times New Roman" w:cs="Times New Roman"/>
          <w:sz w:val="24"/>
          <w:szCs w:val="24"/>
        </w:rPr>
        <w:t xml:space="preserve"> which dealt with the Schedule of Payments. In terms of sub-clause 14.4 (a) the instalments quoted in the schedule of payments were mere estimates of the contract values required to seek interim payments under sub-clause 14.3 (a)</w:t>
      </w:r>
      <w:r w:rsidR="008730B0" w:rsidRPr="006B2410">
        <w:rPr>
          <w:rFonts w:ascii="Times New Roman" w:hAnsi="Times New Roman" w:cs="Times New Roman"/>
          <w:sz w:val="24"/>
          <w:szCs w:val="24"/>
        </w:rPr>
        <w:t xml:space="preserve"> and sub-para (b) of </w:t>
      </w:r>
      <w:r w:rsidR="000B0313" w:rsidRPr="006B2410">
        <w:rPr>
          <w:rFonts w:ascii="Times New Roman" w:hAnsi="Times New Roman" w:cs="Times New Roman"/>
          <w:sz w:val="24"/>
          <w:szCs w:val="24"/>
        </w:rPr>
        <w:t xml:space="preserve">sub-clause </w:t>
      </w:r>
      <w:r w:rsidR="008730B0" w:rsidRPr="006B2410">
        <w:rPr>
          <w:rFonts w:ascii="Times New Roman" w:hAnsi="Times New Roman" w:cs="Times New Roman"/>
          <w:sz w:val="24"/>
          <w:szCs w:val="24"/>
        </w:rPr>
        <w:t>14.4</w:t>
      </w:r>
      <w:r w:rsidR="000B0313" w:rsidRPr="006B2410">
        <w:rPr>
          <w:rFonts w:ascii="Times New Roman" w:hAnsi="Times New Roman" w:cs="Times New Roman"/>
          <w:sz w:val="24"/>
          <w:szCs w:val="24"/>
        </w:rPr>
        <w:t>, which</w:t>
      </w:r>
      <w:r w:rsidR="008730B0" w:rsidRPr="006B2410">
        <w:rPr>
          <w:rFonts w:ascii="Times New Roman" w:hAnsi="Times New Roman" w:cs="Times New Roman"/>
          <w:sz w:val="24"/>
          <w:szCs w:val="24"/>
        </w:rPr>
        <w:t xml:space="preserve"> prescribed that if the instalments were not defined by reference to the actual progress achieved in executing the work</w:t>
      </w:r>
      <w:r w:rsidR="000B0313" w:rsidRPr="006B2410">
        <w:rPr>
          <w:rFonts w:ascii="Times New Roman" w:hAnsi="Times New Roman" w:cs="Times New Roman"/>
          <w:sz w:val="24"/>
          <w:szCs w:val="24"/>
        </w:rPr>
        <w:t>s, and if such actual progress wa</w:t>
      </w:r>
      <w:r w:rsidR="008730B0" w:rsidRPr="006B2410">
        <w:rPr>
          <w:rFonts w:ascii="Times New Roman" w:hAnsi="Times New Roman" w:cs="Times New Roman"/>
          <w:sz w:val="24"/>
          <w:szCs w:val="24"/>
        </w:rPr>
        <w:t xml:space="preserve">s less than the amount in the </w:t>
      </w:r>
      <w:r w:rsidR="008730B0" w:rsidRPr="006B2410">
        <w:rPr>
          <w:rFonts w:ascii="Times New Roman" w:hAnsi="Times New Roman" w:cs="Times New Roman"/>
          <w:sz w:val="24"/>
          <w:szCs w:val="24"/>
        </w:rPr>
        <w:lastRenderedPageBreak/>
        <w:t>schedule the Employer</w:t>
      </w:r>
      <w:r w:rsidR="000B0313" w:rsidRPr="006B2410">
        <w:rPr>
          <w:rFonts w:ascii="Times New Roman" w:hAnsi="Times New Roman" w:cs="Times New Roman"/>
          <w:sz w:val="24"/>
          <w:szCs w:val="24"/>
        </w:rPr>
        <w:t xml:space="preserve"> had a discretion to either </w:t>
      </w:r>
      <w:r w:rsidR="008730B0" w:rsidRPr="006B2410">
        <w:rPr>
          <w:rFonts w:ascii="Times New Roman" w:hAnsi="Times New Roman" w:cs="Times New Roman"/>
          <w:sz w:val="24"/>
          <w:szCs w:val="24"/>
        </w:rPr>
        <w:t xml:space="preserve"> agree to pay the higher amount or to revise the instalments</w:t>
      </w:r>
      <w:r w:rsidR="00A4524D" w:rsidRPr="006B2410">
        <w:rPr>
          <w:rFonts w:ascii="Times New Roman" w:hAnsi="Times New Roman" w:cs="Times New Roman"/>
          <w:sz w:val="24"/>
          <w:szCs w:val="24"/>
        </w:rPr>
        <w:t xml:space="preserve">. </w:t>
      </w:r>
      <w:r w:rsidR="008730B0" w:rsidRPr="006B2410">
        <w:rPr>
          <w:rFonts w:ascii="Times New Roman" w:hAnsi="Times New Roman" w:cs="Times New Roman"/>
          <w:sz w:val="24"/>
          <w:szCs w:val="24"/>
        </w:rPr>
        <w:t>It appears that the drawdowns in the present matter utilised Revision 1c, which may be a pointer to the revision of the three preceding schedules, the original and Revision 1a and b</w:t>
      </w:r>
      <w:r w:rsidR="00A94EB8" w:rsidRPr="006B2410">
        <w:rPr>
          <w:rFonts w:ascii="Times New Roman" w:hAnsi="Times New Roman" w:cs="Times New Roman"/>
          <w:sz w:val="24"/>
          <w:szCs w:val="24"/>
        </w:rPr>
        <w:t>,</w:t>
      </w:r>
      <w:r w:rsidR="008730B0" w:rsidRPr="006B2410">
        <w:rPr>
          <w:rFonts w:ascii="Times New Roman" w:hAnsi="Times New Roman" w:cs="Times New Roman"/>
          <w:sz w:val="24"/>
          <w:szCs w:val="24"/>
        </w:rPr>
        <w:t xml:space="preserve"> under sub-para (b) of </w:t>
      </w:r>
      <w:r w:rsidR="00A94EB8" w:rsidRPr="006B2410">
        <w:rPr>
          <w:rFonts w:ascii="Times New Roman" w:hAnsi="Times New Roman" w:cs="Times New Roman"/>
          <w:sz w:val="24"/>
          <w:szCs w:val="24"/>
        </w:rPr>
        <w:t xml:space="preserve">sub-clause </w:t>
      </w:r>
      <w:r w:rsidR="008730B0" w:rsidRPr="006B2410">
        <w:rPr>
          <w:rFonts w:ascii="Times New Roman" w:hAnsi="Times New Roman" w:cs="Times New Roman"/>
          <w:sz w:val="24"/>
          <w:szCs w:val="24"/>
        </w:rPr>
        <w:t xml:space="preserve">14.4. </w:t>
      </w:r>
    </w:p>
    <w:p w:rsidR="003D54A8" w:rsidRPr="006B2410" w:rsidRDefault="001C3CD0" w:rsidP="003D1FED">
      <w:pPr>
        <w:spacing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In terms of sub-clause 14.4, the amounts quoted in the schedule of payments Revision 1c were estimated contract values that were linked to sub-clause 14.3 (a). The statement supplied to the Employer by the Contractor, otherwise kn</w:t>
      </w:r>
      <w:r w:rsidR="00935FC0" w:rsidRPr="006B2410">
        <w:rPr>
          <w:rFonts w:ascii="Times New Roman" w:hAnsi="Times New Roman" w:cs="Times New Roman"/>
          <w:sz w:val="24"/>
          <w:szCs w:val="24"/>
        </w:rPr>
        <w:t>own as the interim payments would</w:t>
      </w:r>
      <w:r w:rsidRPr="006B2410">
        <w:rPr>
          <w:rFonts w:ascii="Times New Roman" w:hAnsi="Times New Roman" w:cs="Times New Roman"/>
          <w:sz w:val="24"/>
          <w:szCs w:val="24"/>
        </w:rPr>
        <w:t xml:space="preserve"> contain in detail the amount</w:t>
      </w:r>
      <w:r w:rsidR="00935FC0" w:rsidRPr="006B2410">
        <w:rPr>
          <w:rFonts w:ascii="Times New Roman" w:hAnsi="Times New Roman" w:cs="Times New Roman"/>
          <w:sz w:val="24"/>
          <w:szCs w:val="24"/>
        </w:rPr>
        <w:t>s to which the Contractor claimed</w:t>
      </w:r>
      <w:r w:rsidRPr="006B2410">
        <w:rPr>
          <w:rFonts w:ascii="Times New Roman" w:hAnsi="Times New Roman" w:cs="Times New Roman"/>
          <w:sz w:val="24"/>
          <w:szCs w:val="24"/>
        </w:rPr>
        <w:t xml:space="preserve"> entitlement and the supporting documents inclusive of the relevant progress report. </w:t>
      </w:r>
      <w:r w:rsidR="00935FC0" w:rsidRPr="006B2410">
        <w:rPr>
          <w:rFonts w:ascii="Times New Roman" w:hAnsi="Times New Roman" w:cs="Times New Roman"/>
          <w:sz w:val="24"/>
          <w:szCs w:val="24"/>
        </w:rPr>
        <w:t>And more importantly, it was obliged to</w:t>
      </w:r>
      <w:r w:rsidR="000D6709" w:rsidRPr="006B2410">
        <w:rPr>
          <w:rFonts w:ascii="Times New Roman" w:hAnsi="Times New Roman" w:cs="Times New Roman"/>
          <w:sz w:val="24"/>
          <w:szCs w:val="24"/>
        </w:rPr>
        <w:t xml:space="preserve"> include “the estimated contract value of the Works executed and the Contractor’s documents.”  </w:t>
      </w:r>
      <w:r w:rsidRPr="006B2410">
        <w:rPr>
          <w:rFonts w:ascii="Times New Roman" w:hAnsi="Times New Roman" w:cs="Times New Roman"/>
          <w:sz w:val="24"/>
          <w:szCs w:val="24"/>
        </w:rPr>
        <w:t>The contents of a progress report are set out in sub-clause</w:t>
      </w:r>
      <w:r w:rsidR="00935FC0" w:rsidRPr="006B2410">
        <w:rPr>
          <w:rFonts w:ascii="Times New Roman" w:hAnsi="Times New Roman" w:cs="Times New Roman"/>
          <w:sz w:val="24"/>
          <w:szCs w:val="24"/>
        </w:rPr>
        <w:t xml:space="preserve"> 4.21. These wer</w:t>
      </w:r>
      <w:r w:rsidRPr="006B2410">
        <w:rPr>
          <w:rFonts w:ascii="Times New Roman" w:hAnsi="Times New Roman" w:cs="Times New Roman"/>
          <w:sz w:val="24"/>
          <w:szCs w:val="24"/>
        </w:rPr>
        <w:t xml:space="preserve">e prepared monthly </w:t>
      </w:r>
      <w:r w:rsidR="00935FC0" w:rsidRPr="006B2410">
        <w:rPr>
          <w:rFonts w:ascii="Times New Roman" w:hAnsi="Times New Roman" w:cs="Times New Roman"/>
          <w:sz w:val="24"/>
          <w:szCs w:val="24"/>
        </w:rPr>
        <w:t>by the Contractor and one copy wa</w:t>
      </w:r>
      <w:r w:rsidRPr="006B2410">
        <w:rPr>
          <w:rFonts w:ascii="Times New Roman" w:hAnsi="Times New Roman" w:cs="Times New Roman"/>
          <w:sz w:val="24"/>
          <w:szCs w:val="24"/>
        </w:rPr>
        <w:t>s submitted to the Employer, within 7 days o</w:t>
      </w:r>
      <w:r w:rsidR="00935FC0" w:rsidRPr="006B2410">
        <w:rPr>
          <w:rFonts w:ascii="Times New Roman" w:hAnsi="Times New Roman" w:cs="Times New Roman"/>
          <w:sz w:val="24"/>
          <w:szCs w:val="24"/>
        </w:rPr>
        <w:t>f the period to which it related until the project was completed. Each report would</w:t>
      </w:r>
      <w:r w:rsidR="00283C6B">
        <w:rPr>
          <w:rFonts w:ascii="Times New Roman" w:hAnsi="Times New Roman" w:cs="Times New Roman"/>
          <w:sz w:val="24"/>
          <w:szCs w:val="24"/>
        </w:rPr>
        <w:t xml:space="preserve"> include the relevant </w:t>
      </w:r>
      <w:r w:rsidR="003D54A8" w:rsidRPr="006B2410">
        <w:rPr>
          <w:rFonts w:ascii="Times New Roman" w:hAnsi="Times New Roman" w:cs="Times New Roman"/>
          <w:sz w:val="24"/>
          <w:szCs w:val="24"/>
        </w:rPr>
        <w:t>charts and detailed descriptions of progress, each stage of design, contractor’s documents, procurement, manufacture, delivery to site, construction, erection, testing commissioning and trial operation, photographs showing the progress on site, the records of the contractor’s personnel and equipment, quality assurance documents, tests results</w:t>
      </w:r>
      <w:r w:rsidR="000D6709" w:rsidRPr="006B2410">
        <w:rPr>
          <w:rFonts w:ascii="Times New Roman" w:hAnsi="Times New Roman" w:cs="Times New Roman"/>
          <w:sz w:val="24"/>
          <w:szCs w:val="24"/>
        </w:rPr>
        <w:t xml:space="preserve"> and certificates of materials,</w:t>
      </w:r>
      <w:r w:rsidR="003D54A8" w:rsidRPr="006B2410">
        <w:rPr>
          <w:rFonts w:ascii="Times New Roman" w:hAnsi="Times New Roman" w:cs="Times New Roman"/>
          <w:sz w:val="24"/>
          <w:szCs w:val="24"/>
        </w:rPr>
        <w:t xml:space="preserve"> safety statistics</w:t>
      </w:r>
      <w:r w:rsidR="000D6709" w:rsidRPr="006B2410">
        <w:rPr>
          <w:rFonts w:ascii="Times New Roman" w:hAnsi="Times New Roman" w:cs="Times New Roman"/>
          <w:sz w:val="24"/>
          <w:szCs w:val="24"/>
        </w:rPr>
        <w:t xml:space="preserve"> and comparisons between actual and planned progress. </w:t>
      </w:r>
    </w:p>
    <w:p w:rsidR="000D6709" w:rsidRPr="006B2410" w:rsidRDefault="000D6709" w:rsidP="003D1FED">
      <w:pPr>
        <w:spacing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In my view</w:t>
      </w:r>
      <w:r w:rsidR="00424B27">
        <w:rPr>
          <w:rFonts w:ascii="Times New Roman" w:hAnsi="Times New Roman" w:cs="Times New Roman"/>
          <w:sz w:val="24"/>
          <w:szCs w:val="24"/>
        </w:rPr>
        <w:t xml:space="preserve">, </w:t>
      </w:r>
      <w:r w:rsidR="00424B27" w:rsidRPr="006B2410">
        <w:rPr>
          <w:rFonts w:ascii="Times New Roman" w:hAnsi="Times New Roman" w:cs="Times New Roman"/>
          <w:sz w:val="24"/>
          <w:szCs w:val="24"/>
        </w:rPr>
        <w:t>both</w:t>
      </w:r>
      <w:r w:rsidRPr="006B2410">
        <w:rPr>
          <w:rFonts w:ascii="Times New Roman" w:hAnsi="Times New Roman" w:cs="Times New Roman"/>
          <w:sz w:val="24"/>
          <w:szCs w:val="24"/>
        </w:rPr>
        <w:t xml:space="preserve"> sub-clause 14.3 and 14.4 should be read in the context of the aims and objectives of the Contract Agreement and the purposes for creating the Schedule of Payments. The objectives of the Contract Agreement were to upgrade and remedy defects in</w:t>
      </w:r>
      <w:r w:rsidR="009449FD" w:rsidRPr="006B2410">
        <w:rPr>
          <w:rFonts w:ascii="Times New Roman" w:hAnsi="Times New Roman" w:cs="Times New Roman"/>
          <w:sz w:val="24"/>
          <w:szCs w:val="24"/>
        </w:rPr>
        <w:t xml:space="preserve"> the road network in question. The Schedule of Payments was a scientific document prepared and implemented with the end in sight. It was based on known and ascertainable variables which were linked to the </w:t>
      </w:r>
      <w:r w:rsidR="001A6F15" w:rsidRPr="006B2410">
        <w:rPr>
          <w:rFonts w:ascii="Times New Roman" w:hAnsi="Times New Roman" w:cs="Times New Roman"/>
          <w:sz w:val="24"/>
          <w:szCs w:val="24"/>
        </w:rPr>
        <w:t xml:space="preserve">phased </w:t>
      </w:r>
      <w:r w:rsidR="009449FD" w:rsidRPr="006B2410">
        <w:rPr>
          <w:rFonts w:ascii="Times New Roman" w:hAnsi="Times New Roman" w:cs="Times New Roman"/>
          <w:sz w:val="24"/>
          <w:szCs w:val="24"/>
        </w:rPr>
        <w:t>execution and compl</w:t>
      </w:r>
      <w:r w:rsidR="001A6F15" w:rsidRPr="006B2410">
        <w:rPr>
          <w:rFonts w:ascii="Times New Roman" w:hAnsi="Times New Roman" w:cs="Times New Roman"/>
          <w:sz w:val="24"/>
          <w:szCs w:val="24"/>
        </w:rPr>
        <w:t xml:space="preserve">etion of the project in terms of the Programme contemplated by </w:t>
      </w:r>
      <w:r w:rsidR="00A05E82" w:rsidRPr="006B2410">
        <w:rPr>
          <w:rFonts w:ascii="Times New Roman" w:hAnsi="Times New Roman" w:cs="Times New Roman"/>
          <w:sz w:val="24"/>
          <w:szCs w:val="24"/>
        </w:rPr>
        <w:t>sub-clause 8.3 of the Contract A</w:t>
      </w:r>
      <w:r w:rsidR="001A6F15" w:rsidRPr="006B2410">
        <w:rPr>
          <w:rFonts w:ascii="Times New Roman" w:hAnsi="Times New Roman" w:cs="Times New Roman"/>
          <w:sz w:val="24"/>
          <w:szCs w:val="24"/>
        </w:rPr>
        <w:t>greement.</w:t>
      </w:r>
      <w:r w:rsidR="009449FD" w:rsidRPr="006B2410">
        <w:rPr>
          <w:rFonts w:ascii="Times New Roman" w:hAnsi="Times New Roman" w:cs="Times New Roman"/>
          <w:sz w:val="24"/>
          <w:szCs w:val="24"/>
        </w:rPr>
        <w:t xml:space="preserve">  A reading of the contract shows that the Employer’s representative</w:t>
      </w:r>
      <w:r w:rsidR="00A05E82" w:rsidRPr="006B2410">
        <w:rPr>
          <w:rFonts w:ascii="Times New Roman" w:hAnsi="Times New Roman" w:cs="Times New Roman"/>
          <w:sz w:val="24"/>
          <w:szCs w:val="24"/>
        </w:rPr>
        <w:t xml:space="preserve">, referred to by the first witness as the Employer’s technical advisor, </w:t>
      </w:r>
      <w:r w:rsidR="009449FD" w:rsidRPr="006B2410">
        <w:rPr>
          <w:rFonts w:ascii="Times New Roman" w:hAnsi="Times New Roman" w:cs="Times New Roman"/>
          <w:sz w:val="24"/>
          <w:szCs w:val="24"/>
        </w:rPr>
        <w:t>and personnel intimately intermingle</w:t>
      </w:r>
      <w:r w:rsidR="00A05E82" w:rsidRPr="006B2410">
        <w:rPr>
          <w:rFonts w:ascii="Times New Roman" w:hAnsi="Times New Roman" w:cs="Times New Roman"/>
          <w:sz w:val="24"/>
          <w:szCs w:val="24"/>
        </w:rPr>
        <w:t>d</w:t>
      </w:r>
      <w:r w:rsidR="009449FD" w:rsidRPr="006B2410">
        <w:rPr>
          <w:rFonts w:ascii="Times New Roman" w:hAnsi="Times New Roman" w:cs="Times New Roman"/>
          <w:sz w:val="24"/>
          <w:szCs w:val="24"/>
        </w:rPr>
        <w:t xml:space="preserve"> and closely co-operated with the Contractor’s own personnel at every stage of the contract. Their involvement at every stage of the Project was part of the contractual</w:t>
      </w:r>
      <w:r w:rsidR="00CC5FC2" w:rsidRPr="006B2410">
        <w:rPr>
          <w:rFonts w:ascii="Times New Roman" w:hAnsi="Times New Roman" w:cs="Times New Roman"/>
          <w:sz w:val="24"/>
          <w:szCs w:val="24"/>
        </w:rPr>
        <w:t>ly</w:t>
      </w:r>
      <w:r w:rsidR="009449FD" w:rsidRPr="006B2410">
        <w:rPr>
          <w:rFonts w:ascii="Times New Roman" w:hAnsi="Times New Roman" w:cs="Times New Roman"/>
          <w:sz w:val="24"/>
          <w:szCs w:val="24"/>
        </w:rPr>
        <w:t xml:space="preserve"> devised monitoring </w:t>
      </w:r>
      <w:r w:rsidR="00706C61">
        <w:rPr>
          <w:rFonts w:ascii="Times New Roman" w:hAnsi="Times New Roman" w:cs="Times New Roman"/>
          <w:sz w:val="24"/>
          <w:szCs w:val="24"/>
        </w:rPr>
        <w:t xml:space="preserve">and therefore progress measuring </w:t>
      </w:r>
      <w:r w:rsidR="009449FD" w:rsidRPr="006B2410">
        <w:rPr>
          <w:rFonts w:ascii="Times New Roman" w:hAnsi="Times New Roman" w:cs="Times New Roman"/>
          <w:sz w:val="24"/>
          <w:szCs w:val="24"/>
        </w:rPr>
        <w:t>mechanism</w:t>
      </w:r>
      <w:r w:rsidR="00CC5FC2" w:rsidRPr="006B2410">
        <w:rPr>
          <w:rFonts w:ascii="Times New Roman" w:hAnsi="Times New Roman" w:cs="Times New Roman"/>
          <w:sz w:val="24"/>
          <w:szCs w:val="24"/>
        </w:rPr>
        <w:t xml:space="preserve"> of the Project</w:t>
      </w:r>
      <w:r w:rsidR="00706C61">
        <w:rPr>
          <w:rFonts w:ascii="Times New Roman" w:hAnsi="Times New Roman" w:cs="Times New Roman"/>
          <w:sz w:val="24"/>
          <w:szCs w:val="24"/>
        </w:rPr>
        <w:t xml:space="preserve">, which </w:t>
      </w:r>
      <w:r w:rsidR="00F96000">
        <w:rPr>
          <w:rFonts w:ascii="Times New Roman" w:hAnsi="Times New Roman" w:cs="Times New Roman"/>
          <w:sz w:val="24"/>
          <w:szCs w:val="24"/>
        </w:rPr>
        <w:t>was designed from the very beginning to track</w:t>
      </w:r>
      <w:r w:rsidR="00706C61">
        <w:rPr>
          <w:rFonts w:ascii="Times New Roman" w:hAnsi="Times New Roman" w:cs="Times New Roman"/>
          <w:sz w:val="24"/>
          <w:szCs w:val="24"/>
        </w:rPr>
        <w:t xml:space="preserve"> the scheduled works embodied in the Schedule of Payments.</w:t>
      </w:r>
      <w:r w:rsidR="00CC5FC2" w:rsidRPr="006B2410">
        <w:rPr>
          <w:rFonts w:ascii="Times New Roman" w:hAnsi="Times New Roman" w:cs="Times New Roman"/>
          <w:sz w:val="24"/>
          <w:szCs w:val="24"/>
        </w:rPr>
        <w:t xml:space="preserve"> </w:t>
      </w:r>
    </w:p>
    <w:p w:rsidR="002E7F9C" w:rsidRPr="006B2410" w:rsidRDefault="00CC5FC2"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lastRenderedPageBreak/>
        <w:t xml:space="preserve">It seems to me that sub-clause 14.3 (a) categorically answers the factual question against the appellant. It states, </w:t>
      </w:r>
      <w:r w:rsidRPr="006B2410">
        <w:rPr>
          <w:rFonts w:ascii="Times New Roman" w:hAnsi="Times New Roman" w:cs="Times New Roman"/>
          <w:i/>
          <w:sz w:val="24"/>
          <w:szCs w:val="24"/>
        </w:rPr>
        <w:t>inter alia</w:t>
      </w:r>
      <w:r w:rsidRPr="006B2410">
        <w:rPr>
          <w:rFonts w:ascii="Times New Roman" w:hAnsi="Times New Roman" w:cs="Times New Roman"/>
          <w:sz w:val="24"/>
          <w:szCs w:val="24"/>
        </w:rPr>
        <w:t xml:space="preserve">, that the estimated contract value in the Schedule of Payments correlates to the </w:t>
      </w:r>
      <w:r w:rsidR="00CF6A57" w:rsidRPr="006B2410">
        <w:rPr>
          <w:rFonts w:ascii="Times New Roman" w:hAnsi="Times New Roman" w:cs="Times New Roman"/>
          <w:sz w:val="24"/>
          <w:szCs w:val="24"/>
        </w:rPr>
        <w:t xml:space="preserve">execution of the anticipated </w:t>
      </w:r>
      <w:r w:rsidRPr="006B2410">
        <w:rPr>
          <w:rFonts w:ascii="Times New Roman" w:hAnsi="Times New Roman" w:cs="Times New Roman"/>
          <w:sz w:val="24"/>
          <w:szCs w:val="24"/>
        </w:rPr>
        <w:t>Work</w:t>
      </w:r>
      <w:r w:rsidR="00CF6A57" w:rsidRPr="006B2410">
        <w:rPr>
          <w:rFonts w:ascii="Times New Roman" w:hAnsi="Times New Roman" w:cs="Times New Roman"/>
          <w:sz w:val="24"/>
          <w:szCs w:val="24"/>
        </w:rPr>
        <w:t>s</w:t>
      </w:r>
      <w:r w:rsidRPr="006B2410">
        <w:rPr>
          <w:rFonts w:ascii="Times New Roman" w:hAnsi="Times New Roman" w:cs="Times New Roman"/>
          <w:sz w:val="24"/>
          <w:szCs w:val="24"/>
        </w:rPr>
        <w:t xml:space="preserve">.  </w:t>
      </w:r>
      <w:r w:rsidR="008F0838" w:rsidRPr="006B2410">
        <w:rPr>
          <w:rFonts w:ascii="Times New Roman" w:hAnsi="Times New Roman" w:cs="Times New Roman"/>
          <w:sz w:val="24"/>
          <w:szCs w:val="24"/>
        </w:rPr>
        <w:t xml:space="preserve">That the contractor’ progress certificate deliberately covered measured progress and not advance payments or reduced payments further confirmed that the drawdowns were estimates for the </w:t>
      </w:r>
      <w:r w:rsidR="00252EA3" w:rsidRPr="006B2410">
        <w:rPr>
          <w:rFonts w:ascii="Times New Roman" w:hAnsi="Times New Roman" w:cs="Times New Roman"/>
          <w:sz w:val="24"/>
          <w:szCs w:val="24"/>
        </w:rPr>
        <w:t xml:space="preserve">formerly anticipated work, which </w:t>
      </w:r>
      <w:r w:rsidR="008F0838" w:rsidRPr="006B2410">
        <w:rPr>
          <w:rFonts w:ascii="Times New Roman" w:hAnsi="Times New Roman" w:cs="Times New Roman"/>
          <w:sz w:val="24"/>
          <w:szCs w:val="24"/>
        </w:rPr>
        <w:t xml:space="preserve">had </w:t>
      </w:r>
      <w:r w:rsidR="00252EA3" w:rsidRPr="006B2410">
        <w:rPr>
          <w:rFonts w:ascii="Times New Roman" w:hAnsi="Times New Roman" w:cs="Times New Roman"/>
          <w:sz w:val="24"/>
          <w:szCs w:val="24"/>
        </w:rPr>
        <w:t xml:space="preserve">now </w:t>
      </w:r>
      <w:r w:rsidR="008F0838" w:rsidRPr="006B2410">
        <w:rPr>
          <w:rFonts w:ascii="Times New Roman" w:hAnsi="Times New Roman" w:cs="Times New Roman"/>
          <w:sz w:val="24"/>
          <w:szCs w:val="24"/>
        </w:rPr>
        <w:t xml:space="preserve">been done. </w:t>
      </w:r>
      <w:r w:rsidR="0027327B" w:rsidRPr="006B2410">
        <w:rPr>
          <w:rFonts w:ascii="Times New Roman" w:hAnsi="Times New Roman" w:cs="Times New Roman"/>
          <w:sz w:val="24"/>
          <w:szCs w:val="24"/>
        </w:rPr>
        <w:t>This finding was confirmed by the appellant’s Financial Manager Central Accounting Services in her e-mail of 26 May 2016 to the investigating officer’s question on what the US$29 474 367.53 in Form 2 a: Measured Progress, entailed.</w:t>
      </w:r>
      <w:r w:rsidR="0027327B" w:rsidRPr="006B2410">
        <w:rPr>
          <w:rStyle w:val="FootnoteReference"/>
          <w:rFonts w:ascii="Times New Roman" w:hAnsi="Times New Roman" w:cs="Times New Roman"/>
          <w:sz w:val="24"/>
          <w:szCs w:val="24"/>
        </w:rPr>
        <w:footnoteReference w:id="11"/>
      </w:r>
      <w:r w:rsidR="0027327B" w:rsidRPr="006B2410">
        <w:rPr>
          <w:rFonts w:ascii="Times New Roman" w:hAnsi="Times New Roman" w:cs="Times New Roman"/>
          <w:sz w:val="24"/>
          <w:szCs w:val="24"/>
        </w:rPr>
        <w:t xml:space="preserve"> </w:t>
      </w:r>
      <w:r w:rsidR="00700764" w:rsidRPr="006B2410">
        <w:rPr>
          <w:rFonts w:ascii="Times New Roman" w:hAnsi="Times New Roman" w:cs="Times New Roman"/>
          <w:sz w:val="24"/>
          <w:szCs w:val="24"/>
        </w:rPr>
        <w:t>She, by reference to</w:t>
      </w:r>
      <w:r w:rsidR="0027327B" w:rsidRPr="006B2410">
        <w:rPr>
          <w:rFonts w:ascii="Times New Roman" w:hAnsi="Times New Roman" w:cs="Times New Roman"/>
          <w:sz w:val="24"/>
          <w:szCs w:val="24"/>
        </w:rPr>
        <w:t xml:space="preserve"> sub-clause 4.21</w:t>
      </w:r>
      <w:r w:rsidR="00700764" w:rsidRPr="006B2410">
        <w:rPr>
          <w:rFonts w:ascii="Times New Roman" w:hAnsi="Times New Roman" w:cs="Times New Roman"/>
          <w:sz w:val="24"/>
          <w:szCs w:val="24"/>
        </w:rPr>
        <w:t>, indicated that “Schedule 2a measured progress was the progress against the kilometres covered on the contract against the estimated cost per cubic meter/cost base.”</w:t>
      </w:r>
      <w:r w:rsidR="0027327B" w:rsidRPr="006B2410">
        <w:rPr>
          <w:rFonts w:ascii="Times New Roman" w:hAnsi="Times New Roman" w:cs="Times New Roman"/>
          <w:sz w:val="24"/>
          <w:szCs w:val="24"/>
        </w:rPr>
        <w:t xml:space="preserve"> </w:t>
      </w:r>
      <w:r w:rsidR="00180E60" w:rsidRPr="006B2410">
        <w:rPr>
          <w:rFonts w:ascii="Times New Roman" w:hAnsi="Times New Roman" w:cs="Times New Roman"/>
          <w:sz w:val="24"/>
          <w:szCs w:val="24"/>
        </w:rPr>
        <w:t xml:space="preserve">Some of the benchmarks for measuring progress where indicated in the measured progress report on page 156 of the r 11 documents </w:t>
      </w:r>
      <w:r w:rsidR="00180E60" w:rsidRPr="006B2410">
        <w:rPr>
          <w:rFonts w:ascii="Times New Roman" w:hAnsi="Times New Roman" w:cs="Times New Roman"/>
          <w:b/>
          <w:sz w:val="24"/>
          <w:szCs w:val="24"/>
        </w:rPr>
        <w:t>as</w:t>
      </w:r>
      <w:r w:rsidR="00180E60" w:rsidRPr="006B2410">
        <w:rPr>
          <w:rFonts w:ascii="Times New Roman" w:hAnsi="Times New Roman" w:cs="Times New Roman"/>
          <w:sz w:val="24"/>
          <w:szCs w:val="24"/>
        </w:rPr>
        <w:t xml:space="preserve"> the correction of existing surface defects, recycling bitumen, road surfacing and supplying road furniture. </w:t>
      </w:r>
      <w:r w:rsidR="008F0838" w:rsidRPr="006B2410">
        <w:rPr>
          <w:rFonts w:ascii="Times New Roman" w:hAnsi="Times New Roman" w:cs="Times New Roman"/>
          <w:sz w:val="24"/>
          <w:szCs w:val="24"/>
        </w:rPr>
        <w:t xml:space="preserve">The same point was made by the Employer in the verification letter addressed to Zimra. </w:t>
      </w:r>
      <w:r w:rsidR="00B4024F" w:rsidRPr="006B2410">
        <w:rPr>
          <w:rFonts w:ascii="Times New Roman" w:hAnsi="Times New Roman" w:cs="Times New Roman"/>
          <w:sz w:val="24"/>
          <w:szCs w:val="24"/>
        </w:rPr>
        <w:t xml:space="preserve">Indeed, even the quantity surveyor unwittingly conceded that two payments, which he did not identify, were delayed because actual progress was behind schedule. </w:t>
      </w:r>
    </w:p>
    <w:p w:rsidR="00E80F11" w:rsidRPr="006B2410" w:rsidRDefault="00E80F11"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appellant and its counsel, prevaricated on whether the contractor’s progress certificates spoke the truth about themselves. </w:t>
      </w:r>
      <w:r w:rsidR="001C1228" w:rsidRPr="006B2410">
        <w:rPr>
          <w:rFonts w:ascii="Times New Roman" w:hAnsi="Times New Roman" w:cs="Times New Roman"/>
          <w:sz w:val="24"/>
          <w:szCs w:val="24"/>
        </w:rPr>
        <w:t xml:space="preserve">I agree with Mr </w:t>
      </w:r>
      <w:r w:rsidR="001C1228" w:rsidRPr="006B2410">
        <w:rPr>
          <w:rFonts w:ascii="Times New Roman" w:hAnsi="Times New Roman" w:cs="Times New Roman"/>
          <w:i/>
          <w:sz w:val="24"/>
          <w:szCs w:val="24"/>
        </w:rPr>
        <w:t>Magwaliba</w:t>
      </w:r>
      <w:r w:rsidR="001C1228" w:rsidRPr="006B2410">
        <w:rPr>
          <w:rFonts w:ascii="Times New Roman" w:hAnsi="Times New Roman" w:cs="Times New Roman"/>
          <w:sz w:val="24"/>
          <w:szCs w:val="24"/>
        </w:rPr>
        <w:t xml:space="preserve"> that the argument of form over substance advanced by Mr </w:t>
      </w:r>
      <w:r w:rsidR="001C1228" w:rsidRPr="006B2410">
        <w:rPr>
          <w:rFonts w:ascii="Times New Roman" w:hAnsi="Times New Roman" w:cs="Times New Roman"/>
          <w:i/>
          <w:sz w:val="24"/>
          <w:szCs w:val="24"/>
        </w:rPr>
        <w:t>Tivadar</w:t>
      </w:r>
      <w:r w:rsidR="001C1228" w:rsidRPr="006B2410">
        <w:rPr>
          <w:rFonts w:ascii="Times New Roman" w:hAnsi="Times New Roman" w:cs="Times New Roman"/>
          <w:sz w:val="24"/>
          <w:szCs w:val="24"/>
        </w:rPr>
        <w:t xml:space="preserve"> amounted to an</w:t>
      </w:r>
      <w:r w:rsidRPr="006B2410">
        <w:rPr>
          <w:rFonts w:ascii="Times New Roman" w:hAnsi="Times New Roman" w:cs="Times New Roman"/>
          <w:sz w:val="24"/>
          <w:szCs w:val="24"/>
        </w:rPr>
        <w:t xml:space="preserve"> explicit</w:t>
      </w:r>
      <w:r w:rsidR="001C1228" w:rsidRPr="006B2410">
        <w:rPr>
          <w:rFonts w:ascii="Times New Roman" w:hAnsi="Times New Roman" w:cs="Times New Roman"/>
          <w:sz w:val="24"/>
          <w:szCs w:val="24"/>
        </w:rPr>
        <w:t xml:space="preserve"> concession that the progress certificates did not speak the truth about themselves. </w:t>
      </w:r>
      <w:r w:rsidR="005B5F96" w:rsidRPr="006B2410">
        <w:rPr>
          <w:rFonts w:ascii="Times New Roman" w:hAnsi="Times New Roman" w:cs="Times New Roman"/>
          <w:sz w:val="24"/>
          <w:szCs w:val="24"/>
        </w:rPr>
        <w:t xml:space="preserve">Mr </w:t>
      </w:r>
      <w:r w:rsidR="005B5F96" w:rsidRPr="006B2410">
        <w:rPr>
          <w:rFonts w:ascii="Times New Roman" w:hAnsi="Times New Roman" w:cs="Times New Roman"/>
          <w:i/>
          <w:sz w:val="24"/>
          <w:szCs w:val="24"/>
        </w:rPr>
        <w:t xml:space="preserve">Tivadar </w:t>
      </w:r>
      <w:r w:rsidR="005B5F96" w:rsidRPr="006B2410">
        <w:rPr>
          <w:rFonts w:ascii="Times New Roman" w:hAnsi="Times New Roman" w:cs="Times New Roman"/>
          <w:sz w:val="24"/>
          <w:szCs w:val="24"/>
        </w:rPr>
        <w:t>was of course wrong in his construction of the contractor’s progress certificate.</w:t>
      </w:r>
      <w:r w:rsidRPr="006B2410">
        <w:rPr>
          <w:rFonts w:ascii="Times New Roman" w:hAnsi="Times New Roman" w:cs="Times New Roman"/>
          <w:sz w:val="24"/>
          <w:szCs w:val="24"/>
        </w:rPr>
        <w:t xml:space="preserve"> </w:t>
      </w:r>
    </w:p>
    <w:p w:rsidR="00457274" w:rsidRPr="006B2410" w:rsidRDefault="00457274"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Commissioner’s construction of the Contractor’s progress report was further confirmed by the Employer’s third party verification letter dated 24 November 2015, on page 180 of the r11 documents. The employer was asked by what the Commissioner what the periodic payments entailed. The clear and unequivocal response was that they represented payments for work that had been completed at the time they were made.  The suggestion advanced by the first witness and adopted by Mr </w:t>
      </w:r>
      <w:r w:rsidRPr="006B2410">
        <w:rPr>
          <w:rFonts w:ascii="Times New Roman" w:hAnsi="Times New Roman" w:cs="Times New Roman"/>
          <w:i/>
          <w:sz w:val="24"/>
          <w:szCs w:val="24"/>
        </w:rPr>
        <w:t>Tivadar</w:t>
      </w:r>
      <w:r w:rsidRPr="006B2410">
        <w:rPr>
          <w:rFonts w:ascii="Times New Roman" w:hAnsi="Times New Roman" w:cs="Times New Roman"/>
          <w:sz w:val="24"/>
          <w:szCs w:val="24"/>
        </w:rPr>
        <w:t xml:space="preserve"> that the Schedule of Payments constituted </w:t>
      </w:r>
      <w:r w:rsidR="00554CBD" w:rsidRPr="006B2410">
        <w:rPr>
          <w:rFonts w:ascii="Times New Roman" w:hAnsi="Times New Roman" w:cs="Times New Roman"/>
          <w:sz w:val="24"/>
          <w:szCs w:val="24"/>
        </w:rPr>
        <w:t>a mere time framed payment mechanism belied the two delays in payment caused by a mismatch in the demand for payment and progress and all the other attachments to the drawdown application that</w:t>
      </w:r>
      <w:r w:rsidR="005D29F1" w:rsidRPr="006B2410">
        <w:rPr>
          <w:rFonts w:ascii="Times New Roman" w:hAnsi="Times New Roman" w:cs="Times New Roman"/>
          <w:sz w:val="24"/>
          <w:szCs w:val="24"/>
        </w:rPr>
        <w:t xml:space="preserve"> </w:t>
      </w:r>
      <w:r w:rsidR="008B326F" w:rsidRPr="006B2410">
        <w:rPr>
          <w:rFonts w:ascii="Times New Roman" w:hAnsi="Times New Roman" w:cs="Times New Roman"/>
          <w:sz w:val="24"/>
          <w:szCs w:val="24"/>
        </w:rPr>
        <w:t>measured the actual work done.</w:t>
      </w:r>
    </w:p>
    <w:p w:rsidR="00CC5FC2" w:rsidRPr="006B2410" w:rsidRDefault="00CD4434"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lastRenderedPageBreak/>
        <w:t xml:space="preserve">In view of this finding, it is not necessary to deal with all the other arguments raised by Mr </w:t>
      </w:r>
      <w:r w:rsidRPr="006B2410">
        <w:rPr>
          <w:rFonts w:ascii="Times New Roman" w:hAnsi="Times New Roman" w:cs="Times New Roman"/>
          <w:i/>
          <w:sz w:val="24"/>
          <w:szCs w:val="24"/>
        </w:rPr>
        <w:t>Tivadar</w:t>
      </w:r>
      <w:r w:rsidRPr="006B2410">
        <w:rPr>
          <w:rFonts w:ascii="Times New Roman" w:hAnsi="Times New Roman" w:cs="Times New Roman"/>
          <w:sz w:val="24"/>
          <w:szCs w:val="24"/>
        </w:rPr>
        <w:t xml:space="preserve"> to justify the treatment of the drawdowns as payments of income in advance. </w:t>
      </w:r>
      <w:r w:rsidR="008B326F" w:rsidRPr="006B2410">
        <w:rPr>
          <w:rFonts w:ascii="Times New Roman" w:hAnsi="Times New Roman" w:cs="Times New Roman"/>
          <w:sz w:val="24"/>
          <w:szCs w:val="24"/>
        </w:rPr>
        <w:t xml:space="preserve">Suffice it to say that </w:t>
      </w:r>
      <w:r w:rsidR="00CC5FC2" w:rsidRPr="006B2410">
        <w:rPr>
          <w:rFonts w:ascii="Times New Roman" w:hAnsi="Times New Roman" w:cs="Times New Roman"/>
          <w:sz w:val="24"/>
          <w:szCs w:val="24"/>
        </w:rPr>
        <w:t xml:space="preserve">t is for these reasons that I am satisfied that the drawdowns were payments for work </w:t>
      </w:r>
      <w:r w:rsidR="005B5F96" w:rsidRPr="006B2410">
        <w:rPr>
          <w:rFonts w:ascii="Times New Roman" w:hAnsi="Times New Roman" w:cs="Times New Roman"/>
          <w:sz w:val="24"/>
          <w:szCs w:val="24"/>
        </w:rPr>
        <w:t xml:space="preserve">done and not payments of income </w:t>
      </w:r>
      <w:r w:rsidR="00CC5FC2" w:rsidRPr="006B2410">
        <w:rPr>
          <w:rFonts w:ascii="Times New Roman" w:hAnsi="Times New Roman" w:cs="Times New Roman"/>
          <w:sz w:val="24"/>
          <w:szCs w:val="24"/>
        </w:rPr>
        <w:t xml:space="preserve">in advance. </w:t>
      </w:r>
    </w:p>
    <w:p w:rsidR="00C14EE6" w:rsidRPr="006B2410" w:rsidRDefault="00C14EE6" w:rsidP="003D1FED">
      <w:pPr>
        <w:spacing w:line="360" w:lineRule="auto"/>
        <w:jc w:val="both"/>
        <w:rPr>
          <w:rFonts w:ascii="Times New Roman" w:hAnsi="Times New Roman" w:cs="Times New Roman"/>
          <w:i/>
          <w:sz w:val="24"/>
          <w:szCs w:val="24"/>
        </w:rPr>
      </w:pPr>
      <w:r w:rsidRPr="006B2410">
        <w:rPr>
          <w:rFonts w:ascii="Times New Roman" w:hAnsi="Times New Roman" w:cs="Times New Roman"/>
          <w:i/>
          <w:sz w:val="24"/>
          <w:szCs w:val="24"/>
        </w:rPr>
        <w:t>Whether s 15 (2) (cc) applies to the drawdowns</w:t>
      </w:r>
    </w:p>
    <w:p w:rsidR="00C00F7E" w:rsidRPr="006B2410" w:rsidRDefault="0089483F" w:rsidP="003D1F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316A">
        <w:rPr>
          <w:rFonts w:ascii="Times New Roman" w:hAnsi="Times New Roman" w:cs="Times New Roman"/>
          <w:sz w:val="24"/>
          <w:szCs w:val="24"/>
        </w:rPr>
        <w:tab/>
      </w:r>
      <w:r w:rsidR="00F636AE" w:rsidRPr="006B2410">
        <w:rPr>
          <w:rFonts w:ascii="Times New Roman" w:hAnsi="Times New Roman" w:cs="Times New Roman"/>
          <w:sz w:val="24"/>
          <w:szCs w:val="24"/>
        </w:rPr>
        <w:t xml:space="preserve">It is not necessary to cite the provisions of s 15 (2) (cc) in this judgment. Suffice it to say that its meaning was correctly construed by the parties and their counsel. </w:t>
      </w:r>
      <w:r w:rsidR="00F83111" w:rsidRPr="006B2410">
        <w:rPr>
          <w:rFonts w:ascii="Times New Roman" w:hAnsi="Times New Roman" w:cs="Times New Roman"/>
          <w:sz w:val="24"/>
          <w:szCs w:val="24"/>
        </w:rPr>
        <w:t>The sub-para in contention</w:t>
      </w:r>
      <w:r w:rsidR="00F10930" w:rsidRPr="006B2410">
        <w:rPr>
          <w:rFonts w:ascii="Times New Roman" w:hAnsi="Times New Roman" w:cs="Times New Roman"/>
          <w:sz w:val="24"/>
          <w:szCs w:val="24"/>
        </w:rPr>
        <w:t xml:space="preserve"> deals with prepayments which are made in the current year of assessment </w:t>
      </w:r>
      <w:r w:rsidR="00F57AB7" w:rsidRPr="006B2410">
        <w:rPr>
          <w:rFonts w:ascii="Times New Roman" w:hAnsi="Times New Roman" w:cs="Times New Roman"/>
          <w:sz w:val="24"/>
          <w:szCs w:val="24"/>
        </w:rPr>
        <w:t>for which corresponding expenses</w:t>
      </w:r>
      <w:r w:rsidR="00AB6085" w:rsidRPr="006B2410">
        <w:rPr>
          <w:rFonts w:ascii="Times New Roman" w:hAnsi="Times New Roman" w:cs="Times New Roman"/>
          <w:sz w:val="24"/>
          <w:szCs w:val="24"/>
        </w:rPr>
        <w:t>, not of a capital nature,</w:t>
      </w:r>
      <w:r w:rsidR="00F57AB7" w:rsidRPr="006B2410">
        <w:rPr>
          <w:rFonts w:ascii="Times New Roman" w:hAnsi="Times New Roman" w:cs="Times New Roman"/>
          <w:sz w:val="24"/>
          <w:szCs w:val="24"/>
        </w:rPr>
        <w:t xml:space="preserve"> are incurred on that income</w:t>
      </w:r>
      <w:r w:rsidR="00876B1D" w:rsidRPr="006B2410">
        <w:rPr>
          <w:rFonts w:ascii="Times New Roman" w:hAnsi="Times New Roman" w:cs="Times New Roman"/>
          <w:sz w:val="24"/>
          <w:szCs w:val="24"/>
        </w:rPr>
        <w:t xml:space="preserve"> in subsequent</w:t>
      </w:r>
      <w:r w:rsidR="00F10930" w:rsidRPr="006B2410">
        <w:rPr>
          <w:rFonts w:ascii="Times New Roman" w:hAnsi="Times New Roman" w:cs="Times New Roman"/>
          <w:sz w:val="24"/>
          <w:szCs w:val="24"/>
        </w:rPr>
        <w:t xml:space="preserve"> tax year</w:t>
      </w:r>
      <w:r w:rsidR="00876B1D" w:rsidRPr="006B2410">
        <w:rPr>
          <w:rFonts w:ascii="Times New Roman" w:hAnsi="Times New Roman" w:cs="Times New Roman"/>
          <w:sz w:val="24"/>
          <w:szCs w:val="24"/>
        </w:rPr>
        <w:t>s</w:t>
      </w:r>
      <w:r w:rsidR="00F10930" w:rsidRPr="006B2410">
        <w:rPr>
          <w:rFonts w:ascii="Times New Roman" w:hAnsi="Times New Roman" w:cs="Times New Roman"/>
          <w:sz w:val="24"/>
          <w:szCs w:val="24"/>
        </w:rPr>
        <w:t>.</w:t>
      </w:r>
      <w:r w:rsidR="00F83111" w:rsidRPr="006B2410">
        <w:rPr>
          <w:rFonts w:ascii="Times New Roman" w:hAnsi="Times New Roman" w:cs="Times New Roman"/>
          <w:sz w:val="24"/>
          <w:szCs w:val="24"/>
        </w:rPr>
        <w:t xml:space="preserve"> Such a prepayment would constitute revenue in the tax year that it is received</w:t>
      </w:r>
      <w:r w:rsidR="00997777" w:rsidRPr="006B2410">
        <w:rPr>
          <w:rFonts w:ascii="Times New Roman" w:hAnsi="Times New Roman" w:cs="Times New Roman"/>
          <w:sz w:val="24"/>
          <w:szCs w:val="24"/>
        </w:rPr>
        <w:t>. The sub-para, however</w:t>
      </w:r>
      <w:r>
        <w:rPr>
          <w:rFonts w:ascii="Times New Roman" w:hAnsi="Times New Roman" w:cs="Times New Roman"/>
          <w:sz w:val="24"/>
          <w:szCs w:val="24"/>
        </w:rPr>
        <w:t>,</w:t>
      </w:r>
      <w:r w:rsidR="00997777" w:rsidRPr="006B2410">
        <w:rPr>
          <w:rFonts w:ascii="Times New Roman" w:hAnsi="Times New Roman" w:cs="Times New Roman"/>
          <w:sz w:val="24"/>
          <w:szCs w:val="24"/>
        </w:rPr>
        <w:t xml:space="preserve"> allows a taxpayer to elect to deduct in the tax year of receipt, the expenditure or losses, not of a capital nature, as fixed by the Commissioner, he anticipates to incur in the subsequent tax year</w:t>
      </w:r>
      <w:r w:rsidR="00153BE1" w:rsidRPr="006B2410">
        <w:rPr>
          <w:rFonts w:ascii="Times New Roman" w:hAnsi="Times New Roman" w:cs="Times New Roman"/>
          <w:sz w:val="24"/>
          <w:szCs w:val="24"/>
        </w:rPr>
        <w:t>s</w:t>
      </w:r>
      <w:r w:rsidR="001C1ADC" w:rsidRPr="006B2410">
        <w:rPr>
          <w:rFonts w:ascii="Times New Roman" w:hAnsi="Times New Roman" w:cs="Times New Roman"/>
          <w:sz w:val="24"/>
          <w:szCs w:val="24"/>
        </w:rPr>
        <w:t>, which would</w:t>
      </w:r>
      <w:r w:rsidR="00997777" w:rsidRPr="006B2410">
        <w:rPr>
          <w:rFonts w:ascii="Times New Roman" w:hAnsi="Times New Roman" w:cs="Times New Roman"/>
          <w:sz w:val="24"/>
          <w:szCs w:val="24"/>
        </w:rPr>
        <w:t xml:space="preserve"> have a direct correlation to the gross income of the subsequent year.</w:t>
      </w:r>
      <w:r w:rsidR="00CE53EC" w:rsidRPr="006B2410">
        <w:rPr>
          <w:rFonts w:ascii="Times New Roman" w:hAnsi="Times New Roman" w:cs="Times New Roman"/>
          <w:sz w:val="24"/>
          <w:szCs w:val="24"/>
        </w:rPr>
        <w:t xml:space="preserve"> The deduction claimed would</w:t>
      </w:r>
      <w:r w:rsidR="00153BE1" w:rsidRPr="006B2410">
        <w:rPr>
          <w:rFonts w:ascii="Times New Roman" w:hAnsi="Times New Roman" w:cs="Times New Roman"/>
          <w:sz w:val="24"/>
          <w:szCs w:val="24"/>
        </w:rPr>
        <w:t>,</w:t>
      </w:r>
      <w:r w:rsidR="00CE53EC" w:rsidRPr="006B2410">
        <w:rPr>
          <w:rFonts w:ascii="Times New Roman" w:hAnsi="Times New Roman" w:cs="Times New Roman"/>
          <w:sz w:val="24"/>
          <w:szCs w:val="24"/>
        </w:rPr>
        <w:t xml:space="preserve"> however</w:t>
      </w:r>
      <w:r w:rsidR="00153BE1" w:rsidRPr="006B2410">
        <w:rPr>
          <w:rFonts w:ascii="Times New Roman" w:hAnsi="Times New Roman" w:cs="Times New Roman"/>
          <w:sz w:val="24"/>
          <w:szCs w:val="24"/>
        </w:rPr>
        <w:t>,</w:t>
      </w:r>
      <w:r w:rsidR="00CE53EC" w:rsidRPr="006B2410">
        <w:rPr>
          <w:rFonts w:ascii="Times New Roman" w:hAnsi="Times New Roman" w:cs="Times New Roman"/>
          <w:sz w:val="24"/>
          <w:szCs w:val="24"/>
        </w:rPr>
        <w:t xml:space="preserve"> be included in the gro</w:t>
      </w:r>
      <w:r w:rsidR="00F87A32" w:rsidRPr="006B2410">
        <w:rPr>
          <w:rFonts w:ascii="Times New Roman" w:hAnsi="Times New Roman" w:cs="Times New Roman"/>
          <w:sz w:val="24"/>
          <w:szCs w:val="24"/>
        </w:rPr>
        <w:t>ss income of the taxpayer in the</w:t>
      </w:r>
      <w:r w:rsidR="0006151B" w:rsidRPr="006B2410">
        <w:rPr>
          <w:rFonts w:ascii="Times New Roman" w:hAnsi="Times New Roman" w:cs="Times New Roman"/>
          <w:sz w:val="24"/>
          <w:szCs w:val="24"/>
        </w:rPr>
        <w:t xml:space="preserve"> relevant</w:t>
      </w:r>
      <w:r w:rsidR="00CE53EC" w:rsidRPr="006B2410">
        <w:rPr>
          <w:rFonts w:ascii="Times New Roman" w:hAnsi="Times New Roman" w:cs="Times New Roman"/>
          <w:sz w:val="24"/>
          <w:szCs w:val="24"/>
        </w:rPr>
        <w:t xml:space="preserve"> subsequent tax year. </w:t>
      </w:r>
    </w:p>
    <w:p w:rsidR="001C0DC9" w:rsidRPr="006B2410" w:rsidRDefault="00C00F7E" w:rsidP="003D1FED">
      <w:pPr>
        <w:spacing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I have found that the drawdowns did not constitute income in advance but were payments for work done. Accordingly, section 15 (2) (cc) is not engaged. The respondent correctly </w:t>
      </w:r>
      <w:r w:rsidR="0006151B" w:rsidRPr="006B2410">
        <w:rPr>
          <w:rFonts w:ascii="Times New Roman" w:hAnsi="Times New Roman" w:cs="Times New Roman"/>
          <w:sz w:val="24"/>
          <w:szCs w:val="24"/>
        </w:rPr>
        <w:t>added</w:t>
      </w:r>
      <w:r w:rsidR="001C0DC9" w:rsidRPr="006B2410">
        <w:rPr>
          <w:rFonts w:ascii="Times New Roman" w:hAnsi="Times New Roman" w:cs="Times New Roman"/>
          <w:sz w:val="24"/>
          <w:szCs w:val="24"/>
        </w:rPr>
        <w:t xml:space="preserve"> </w:t>
      </w:r>
      <w:r w:rsidR="00AB2680" w:rsidRPr="006B2410">
        <w:rPr>
          <w:rFonts w:ascii="Times New Roman" w:hAnsi="Times New Roman" w:cs="Times New Roman"/>
          <w:sz w:val="24"/>
          <w:szCs w:val="24"/>
        </w:rPr>
        <w:t xml:space="preserve">these amounts </w:t>
      </w:r>
      <w:r w:rsidR="0006151B" w:rsidRPr="006B2410">
        <w:rPr>
          <w:rFonts w:ascii="Times New Roman" w:hAnsi="Times New Roman" w:cs="Times New Roman"/>
          <w:sz w:val="24"/>
          <w:szCs w:val="24"/>
        </w:rPr>
        <w:t xml:space="preserve">back </w:t>
      </w:r>
      <w:r w:rsidR="00AB2680" w:rsidRPr="006B2410">
        <w:rPr>
          <w:rFonts w:ascii="Times New Roman" w:hAnsi="Times New Roman" w:cs="Times New Roman"/>
          <w:sz w:val="24"/>
          <w:szCs w:val="24"/>
        </w:rPr>
        <w:t xml:space="preserve">to the </w:t>
      </w:r>
      <w:r w:rsidR="001C0DC9" w:rsidRPr="006B2410">
        <w:rPr>
          <w:rFonts w:ascii="Times New Roman" w:hAnsi="Times New Roman" w:cs="Times New Roman"/>
          <w:sz w:val="24"/>
          <w:szCs w:val="24"/>
        </w:rPr>
        <w:t xml:space="preserve">income of the </w:t>
      </w:r>
      <w:r w:rsidR="0006151B" w:rsidRPr="006B2410">
        <w:rPr>
          <w:rFonts w:ascii="Times New Roman" w:hAnsi="Times New Roman" w:cs="Times New Roman"/>
          <w:sz w:val="24"/>
          <w:szCs w:val="24"/>
        </w:rPr>
        <w:t xml:space="preserve">taxpayer in the </w:t>
      </w:r>
      <w:r w:rsidR="00AB2680" w:rsidRPr="006B2410">
        <w:rPr>
          <w:rFonts w:ascii="Times New Roman" w:hAnsi="Times New Roman" w:cs="Times New Roman"/>
          <w:sz w:val="24"/>
          <w:szCs w:val="24"/>
        </w:rPr>
        <w:t xml:space="preserve">years in which they </w:t>
      </w:r>
      <w:r w:rsidR="001C0DC9" w:rsidRPr="006B2410">
        <w:rPr>
          <w:rFonts w:ascii="Times New Roman" w:hAnsi="Times New Roman" w:cs="Times New Roman"/>
          <w:sz w:val="24"/>
          <w:szCs w:val="24"/>
        </w:rPr>
        <w:t xml:space="preserve">were </w:t>
      </w:r>
      <w:r w:rsidR="00AB2680" w:rsidRPr="006B2410">
        <w:rPr>
          <w:rFonts w:ascii="Times New Roman" w:hAnsi="Times New Roman" w:cs="Times New Roman"/>
          <w:sz w:val="24"/>
          <w:szCs w:val="24"/>
        </w:rPr>
        <w:t xml:space="preserve">received and deducted them from </w:t>
      </w:r>
      <w:r w:rsidR="001C0DC9" w:rsidRPr="006B2410">
        <w:rPr>
          <w:rFonts w:ascii="Times New Roman" w:hAnsi="Times New Roman" w:cs="Times New Roman"/>
          <w:sz w:val="24"/>
          <w:szCs w:val="24"/>
        </w:rPr>
        <w:t xml:space="preserve">the income in </w:t>
      </w:r>
      <w:r w:rsidR="00AB2680" w:rsidRPr="006B2410">
        <w:rPr>
          <w:rFonts w:ascii="Times New Roman" w:hAnsi="Times New Roman" w:cs="Times New Roman"/>
          <w:sz w:val="24"/>
          <w:szCs w:val="24"/>
        </w:rPr>
        <w:t xml:space="preserve">the future years </w:t>
      </w:r>
      <w:r w:rsidR="001C0DC9" w:rsidRPr="006B2410">
        <w:rPr>
          <w:rFonts w:ascii="Times New Roman" w:hAnsi="Times New Roman" w:cs="Times New Roman"/>
          <w:sz w:val="24"/>
          <w:szCs w:val="24"/>
        </w:rPr>
        <w:t>where</w:t>
      </w:r>
      <w:r w:rsidR="00AB2680" w:rsidRPr="006B2410">
        <w:rPr>
          <w:rFonts w:ascii="Times New Roman" w:hAnsi="Times New Roman" w:cs="Times New Roman"/>
          <w:sz w:val="24"/>
          <w:szCs w:val="24"/>
        </w:rPr>
        <w:t xml:space="preserve"> the appellant had included them</w:t>
      </w:r>
      <w:r w:rsidR="001C0DC9" w:rsidRPr="006B2410">
        <w:rPr>
          <w:rFonts w:ascii="Times New Roman" w:hAnsi="Times New Roman" w:cs="Times New Roman"/>
          <w:sz w:val="24"/>
          <w:szCs w:val="24"/>
        </w:rPr>
        <w:t>.</w:t>
      </w:r>
      <w:r w:rsidR="00AB2680" w:rsidRPr="006B2410">
        <w:rPr>
          <w:rFonts w:ascii="Times New Roman" w:hAnsi="Times New Roman" w:cs="Times New Roman"/>
          <w:sz w:val="24"/>
          <w:szCs w:val="24"/>
        </w:rPr>
        <w:t xml:space="preserve"> </w:t>
      </w:r>
    </w:p>
    <w:p w:rsidR="00FE4B13" w:rsidRPr="006B2410" w:rsidRDefault="00FE4B13" w:rsidP="003D1FED">
      <w:pPr>
        <w:spacing w:line="360" w:lineRule="auto"/>
        <w:jc w:val="both"/>
        <w:rPr>
          <w:rFonts w:ascii="Times New Roman" w:hAnsi="Times New Roman" w:cs="Times New Roman"/>
          <w:i/>
          <w:sz w:val="24"/>
          <w:szCs w:val="24"/>
        </w:rPr>
      </w:pPr>
      <w:r w:rsidRPr="006B2410">
        <w:rPr>
          <w:rFonts w:ascii="Times New Roman" w:hAnsi="Times New Roman" w:cs="Times New Roman"/>
          <w:i/>
          <w:sz w:val="24"/>
          <w:szCs w:val="24"/>
        </w:rPr>
        <w:t xml:space="preserve">If they were advance payments were they </w:t>
      </w:r>
      <w:r w:rsidR="0078701A" w:rsidRPr="006B2410">
        <w:rPr>
          <w:rFonts w:ascii="Times New Roman" w:hAnsi="Times New Roman" w:cs="Times New Roman"/>
          <w:i/>
          <w:sz w:val="24"/>
          <w:szCs w:val="24"/>
        </w:rPr>
        <w:t>fixed?</w:t>
      </w:r>
    </w:p>
    <w:p w:rsidR="0093551C" w:rsidRPr="006B2410" w:rsidRDefault="00E85E5A"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appellant asserted that in </w:t>
      </w:r>
      <w:r w:rsidR="00D80E40" w:rsidRPr="006B2410">
        <w:rPr>
          <w:rFonts w:ascii="Times New Roman" w:hAnsi="Times New Roman" w:cs="Times New Roman"/>
          <w:sz w:val="24"/>
          <w:szCs w:val="24"/>
        </w:rPr>
        <w:t xml:space="preserve">the absence of </w:t>
      </w:r>
      <w:r w:rsidR="00FE4B13" w:rsidRPr="006B2410">
        <w:rPr>
          <w:rFonts w:ascii="Times New Roman" w:hAnsi="Times New Roman" w:cs="Times New Roman"/>
          <w:sz w:val="24"/>
          <w:szCs w:val="24"/>
        </w:rPr>
        <w:t xml:space="preserve">a </w:t>
      </w:r>
      <w:r w:rsidR="00D80E40" w:rsidRPr="006B2410">
        <w:rPr>
          <w:rFonts w:ascii="Times New Roman" w:hAnsi="Times New Roman" w:cs="Times New Roman"/>
          <w:sz w:val="24"/>
          <w:szCs w:val="24"/>
        </w:rPr>
        <w:t xml:space="preserve">statutory prescribed </w:t>
      </w:r>
      <w:r w:rsidR="00FE4B13" w:rsidRPr="006B2410">
        <w:rPr>
          <w:rFonts w:ascii="Times New Roman" w:hAnsi="Times New Roman" w:cs="Times New Roman"/>
          <w:sz w:val="24"/>
          <w:szCs w:val="24"/>
        </w:rPr>
        <w:t>mechanism for engaging the Co</w:t>
      </w:r>
      <w:r w:rsidRPr="006B2410">
        <w:rPr>
          <w:rFonts w:ascii="Times New Roman" w:hAnsi="Times New Roman" w:cs="Times New Roman"/>
          <w:sz w:val="24"/>
          <w:szCs w:val="24"/>
        </w:rPr>
        <w:t>mmissioner to fix the allowance, the</w:t>
      </w:r>
      <w:r w:rsidR="00FE4B13" w:rsidRPr="006B2410">
        <w:rPr>
          <w:rFonts w:ascii="Times New Roman" w:hAnsi="Times New Roman" w:cs="Times New Roman"/>
          <w:sz w:val="24"/>
          <w:szCs w:val="24"/>
        </w:rPr>
        <w:t xml:space="preserve"> s 37A </w:t>
      </w:r>
      <w:r w:rsidR="00D80E40" w:rsidRPr="006B2410">
        <w:rPr>
          <w:rFonts w:ascii="Times New Roman" w:hAnsi="Times New Roman" w:cs="Times New Roman"/>
          <w:sz w:val="24"/>
          <w:szCs w:val="24"/>
        </w:rPr>
        <w:t xml:space="preserve">of the Act </w:t>
      </w:r>
      <w:r w:rsidR="00FE4B13" w:rsidRPr="006B2410">
        <w:rPr>
          <w:rFonts w:ascii="Times New Roman" w:hAnsi="Times New Roman" w:cs="Times New Roman"/>
          <w:sz w:val="24"/>
          <w:szCs w:val="24"/>
        </w:rPr>
        <w:t>self-assessments</w:t>
      </w:r>
      <w:r w:rsidRPr="006B2410">
        <w:rPr>
          <w:rFonts w:ascii="Times New Roman" w:hAnsi="Times New Roman" w:cs="Times New Roman"/>
          <w:sz w:val="24"/>
          <w:szCs w:val="24"/>
        </w:rPr>
        <w:t xml:space="preserve"> constituted </w:t>
      </w:r>
      <w:r w:rsidR="00C3506B" w:rsidRPr="006B2410">
        <w:rPr>
          <w:rFonts w:ascii="Times New Roman" w:hAnsi="Times New Roman" w:cs="Times New Roman"/>
          <w:sz w:val="24"/>
          <w:szCs w:val="24"/>
        </w:rPr>
        <w:t>the fixing</w:t>
      </w:r>
      <w:r w:rsidRPr="006B2410">
        <w:rPr>
          <w:rFonts w:ascii="Times New Roman" w:hAnsi="Times New Roman" w:cs="Times New Roman"/>
          <w:sz w:val="24"/>
          <w:szCs w:val="24"/>
        </w:rPr>
        <w:t xml:space="preserve"> of the allowance by the Commissioner envisaged by s 15 (2) (cc). In my view, the assertion is</w:t>
      </w:r>
      <w:r w:rsidR="00FE4B13" w:rsidRPr="006B2410">
        <w:rPr>
          <w:rFonts w:ascii="Times New Roman" w:hAnsi="Times New Roman" w:cs="Times New Roman"/>
          <w:sz w:val="24"/>
          <w:szCs w:val="24"/>
        </w:rPr>
        <w:t xml:space="preserve"> devoid of merit. I agree with the contentions made by the Commissioner that the taxpayer was obliged to approach the Commissioner to fix the allowance using the method that taxpayers use to comm</w:t>
      </w:r>
      <w:r w:rsidR="00431EF6" w:rsidRPr="006B2410">
        <w:rPr>
          <w:rFonts w:ascii="Times New Roman" w:hAnsi="Times New Roman" w:cs="Times New Roman"/>
          <w:sz w:val="24"/>
          <w:szCs w:val="24"/>
        </w:rPr>
        <w:t>unicate with the Commissioner, by adopting with modifications</w:t>
      </w:r>
      <w:r w:rsidR="00C0302B">
        <w:rPr>
          <w:rFonts w:ascii="Times New Roman" w:hAnsi="Times New Roman" w:cs="Times New Roman"/>
          <w:sz w:val="24"/>
          <w:szCs w:val="24"/>
        </w:rPr>
        <w:t xml:space="preserve"> some of the methods outlined in the Fourth Schedule to</w:t>
      </w:r>
      <w:r w:rsidR="00431EF6" w:rsidRPr="006B2410">
        <w:rPr>
          <w:rFonts w:ascii="Times New Roman" w:hAnsi="Times New Roman" w:cs="Times New Roman"/>
          <w:sz w:val="24"/>
          <w:szCs w:val="24"/>
        </w:rPr>
        <w:t xml:space="preserve"> the Revenue Authority Act </w:t>
      </w:r>
      <w:r w:rsidR="00431EF6" w:rsidRPr="006B2410">
        <w:rPr>
          <w:rFonts w:ascii="Times New Roman" w:hAnsi="Times New Roman" w:cs="Times New Roman"/>
          <w:i/>
          <w:sz w:val="24"/>
          <w:szCs w:val="24"/>
        </w:rPr>
        <w:t>[Chapter 23:11]</w:t>
      </w:r>
      <w:r w:rsidR="00FE4B13" w:rsidRPr="006B2410">
        <w:rPr>
          <w:rFonts w:ascii="Times New Roman" w:hAnsi="Times New Roman" w:cs="Times New Roman"/>
          <w:sz w:val="24"/>
          <w:szCs w:val="24"/>
        </w:rPr>
        <w:t xml:space="preserve">.  </w:t>
      </w:r>
      <w:r w:rsidR="00431EF6" w:rsidRPr="006B2410">
        <w:rPr>
          <w:rFonts w:ascii="Times New Roman" w:hAnsi="Times New Roman" w:cs="Times New Roman"/>
          <w:sz w:val="24"/>
          <w:szCs w:val="24"/>
        </w:rPr>
        <w:t>I fi</w:t>
      </w:r>
      <w:r w:rsidRPr="006B2410">
        <w:rPr>
          <w:rFonts w:ascii="Times New Roman" w:hAnsi="Times New Roman" w:cs="Times New Roman"/>
          <w:sz w:val="24"/>
          <w:szCs w:val="24"/>
        </w:rPr>
        <w:t>nd it highly incredulous</w:t>
      </w:r>
      <w:r w:rsidR="005F26EF" w:rsidRPr="006B2410">
        <w:rPr>
          <w:rFonts w:ascii="Times New Roman" w:hAnsi="Times New Roman" w:cs="Times New Roman"/>
          <w:sz w:val="24"/>
          <w:szCs w:val="24"/>
        </w:rPr>
        <w:t xml:space="preserve"> that </w:t>
      </w:r>
      <w:r w:rsidR="00431EF6" w:rsidRPr="006B2410">
        <w:rPr>
          <w:rFonts w:ascii="Times New Roman" w:hAnsi="Times New Roman" w:cs="Times New Roman"/>
          <w:sz w:val="24"/>
          <w:szCs w:val="24"/>
        </w:rPr>
        <w:t xml:space="preserve">tax consultants, </w:t>
      </w:r>
      <w:r w:rsidRPr="006B2410">
        <w:rPr>
          <w:rFonts w:ascii="Times New Roman" w:hAnsi="Times New Roman" w:cs="Times New Roman"/>
          <w:sz w:val="24"/>
          <w:szCs w:val="24"/>
        </w:rPr>
        <w:t>especially of the pedigree</w:t>
      </w:r>
      <w:r w:rsidR="00431EF6" w:rsidRPr="006B2410">
        <w:rPr>
          <w:rFonts w:ascii="Times New Roman" w:hAnsi="Times New Roman" w:cs="Times New Roman"/>
          <w:sz w:val="24"/>
          <w:szCs w:val="24"/>
        </w:rPr>
        <w:t xml:space="preserve"> at the disposal of the </w:t>
      </w:r>
      <w:r w:rsidR="005F26EF" w:rsidRPr="006B2410">
        <w:rPr>
          <w:rFonts w:ascii="Times New Roman" w:hAnsi="Times New Roman" w:cs="Times New Roman"/>
          <w:sz w:val="24"/>
          <w:szCs w:val="24"/>
        </w:rPr>
        <w:t>appellant,</w:t>
      </w:r>
      <w:r w:rsidR="00431EF6" w:rsidRPr="006B2410">
        <w:rPr>
          <w:rFonts w:ascii="Times New Roman" w:hAnsi="Times New Roman" w:cs="Times New Roman"/>
          <w:sz w:val="24"/>
          <w:szCs w:val="24"/>
        </w:rPr>
        <w:t xml:space="preserve"> would not know how to approach the Commissioner to fix an allowance.  </w:t>
      </w:r>
      <w:r w:rsidRPr="006B2410">
        <w:rPr>
          <w:rFonts w:ascii="Times New Roman" w:hAnsi="Times New Roman" w:cs="Times New Roman"/>
          <w:sz w:val="24"/>
          <w:szCs w:val="24"/>
        </w:rPr>
        <w:t xml:space="preserve">It is a matter of common sense that they would, as </w:t>
      </w:r>
      <w:r w:rsidRPr="006B2410">
        <w:rPr>
          <w:rFonts w:ascii="Times New Roman" w:hAnsi="Times New Roman" w:cs="Times New Roman"/>
          <w:sz w:val="24"/>
          <w:szCs w:val="24"/>
        </w:rPr>
        <w:lastRenderedPageBreak/>
        <w:t xml:space="preserve">suggested by Mr </w:t>
      </w:r>
      <w:r w:rsidRPr="006B2410">
        <w:rPr>
          <w:rFonts w:ascii="Times New Roman" w:hAnsi="Times New Roman" w:cs="Times New Roman"/>
          <w:i/>
          <w:sz w:val="24"/>
          <w:szCs w:val="24"/>
        </w:rPr>
        <w:t>Magwaliba</w:t>
      </w:r>
      <w:r w:rsidRPr="006B2410">
        <w:rPr>
          <w:rFonts w:ascii="Times New Roman" w:hAnsi="Times New Roman" w:cs="Times New Roman"/>
          <w:sz w:val="24"/>
          <w:szCs w:val="24"/>
        </w:rPr>
        <w:t xml:space="preserve">, write, arrange a meeting or seek the assistance of the respondent’s Large Clients Office. </w:t>
      </w:r>
      <w:r w:rsidR="00FE4B13" w:rsidRPr="006B2410">
        <w:rPr>
          <w:rFonts w:ascii="Times New Roman" w:hAnsi="Times New Roman" w:cs="Times New Roman"/>
          <w:sz w:val="24"/>
          <w:szCs w:val="24"/>
        </w:rPr>
        <w:t>While</w:t>
      </w:r>
      <w:r w:rsidRPr="006B2410">
        <w:rPr>
          <w:rFonts w:ascii="Times New Roman" w:hAnsi="Times New Roman" w:cs="Times New Roman"/>
          <w:sz w:val="24"/>
          <w:szCs w:val="24"/>
        </w:rPr>
        <w:t xml:space="preserve"> a self-assessment</w:t>
      </w:r>
      <w:r w:rsidR="00FE4B13" w:rsidRPr="006B2410">
        <w:rPr>
          <w:rFonts w:ascii="Times New Roman" w:hAnsi="Times New Roman" w:cs="Times New Roman"/>
          <w:sz w:val="24"/>
          <w:szCs w:val="24"/>
        </w:rPr>
        <w:t xml:space="preserve"> is deemed by s 37A to be an assessment under the hand of the Commissioner, the reality of the matter is that the taxpayer is not deemed to be the Commissioner</w:t>
      </w:r>
      <w:r w:rsidR="005F26EF" w:rsidRPr="006B2410">
        <w:rPr>
          <w:rFonts w:ascii="Times New Roman" w:hAnsi="Times New Roman" w:cs="Times New Roman"/>
          <w:sz w:val="24"/>
          <w:szCs w:val="24"/>
        </w:rPr>
        <w:t xml:space="preserve"> even where the method of approaching the Commissioner is not specifically stated. </w:t>
      </w:r>
      <w:r w:rsidR="00FE4B13" w:rsidRPr="006B2410">
        <w:rPr>
          <w:rFonts w:ascii="Times New Roman" w:hAnsi="Times New Roman" w:cs="Times New Roman"/>
          <w:sz w:val="24"/>
          <w:szCs w:val="24"/>
        </w:rPr>
        <w:t xml:space="preserve">Accordingly it cannot fix the allowance. I agree with the Commissioner that the stage at which the allowance is fixed is not on the </w:t>
      </w:r>
      <w:r w:rsidRPr="006B2410">
        <w:rPr>
          <w:rFonts w:ascii="Times New Roman" w:hAnsi="Times New Roman" w:cs="Times New Roman"/>
          <w:sz w:val="24"/>
          <w:szCs w:val="24"/>
        </w:rPr>
        <w:t xml:space="preserve">submission of the return but </w:t>
      </w:r>
      <w:r w:rsidR="00FE4B13" w:rsidRPr="006B2410">
        <w:rPr>
          <w:rFonts w:ascii="Times New Roman" w:hAnsi="Times New Roman" w:cs="Times New Roman"/>
          <w:sz w:val="24"/>
          <w:szCs w:val="24"/>
        </w:rPr>
        <w:t xml:space="preserve">at the stage the taxpayer becomes aware that the amount constitutes income in </w:t>
      </w:r>
      <w:r w:rsidRPr="006B2410">
        <w:rPr>
          <w:rFonts w:ascii="Times New Roman" w:hAnsi="Times New Roman" w:cs="Times New Roman"/>
          <w:sz w:val="24"/>
          <w:szCs w:val="24"/>
        </w:rPr>
        <w:t xml:space="preserve">advance. In their respective pleadings, </w:t>
      </w:r>
      <w:r w:rsidR="00986E55" w:rsidRPr="006B2410">
        <w:rPr>
          <w:rFonts w:ascii="Times New Roman" w:hAnsi="Times New Roman" w:cs="Times New Roman"/>
          <w:sz w:val="24"/>
          <w:szCs w:val="24"/>
        </w:rPr>
        <w:t xml:space="preserve">both parties suggested the method of computation that could be used. The appellant suggested </w:t>
      </w:r>
      <w:r w:rsidRPr="006B2410">
        <w:rPr>
          <w:rFonts w:ascii="Times New Roman" w:hAnsi="Times New Roman" w:cs="Times New Roman"/>
          <w:sz w:val="24"/>
          <w:szCs w:val="24"/>
        </w:rPr>
        <w:t xml:space="preserve">the </w:t>
      </w:r>
      <w:r w:rsidR="00986E55" w:rsidRPr="006B2410">
        <w:rPr>
          <w:rFonts w:ascii="Times New Roman" w:hAnsi="Times New Roman" w:cs="Times New Roman"/>
          <w:sz w:val="24"/>
          <w:szCs w:val="24"/>
        </w:rPr>
        <w:t xml:space="preserve">utilisation </w:t>
      </w:r>
      <w:r w:rsidRPr="006B2410">
        <w:rPr>
          <w:rFonts w:ascii="Times New Roman" w:hAnsi="Times New Roman" w:cs="Times New Roman"/>
          <w:sz w:val="24"/>
          <w:szCs w:val="24"/>
        </w:rPr>
        <w:t xml:space="preserve">of </w:t>
      </w:r>
      <w:r w:rsidR="00986E55" w:rsidRPr="006B2410">
        <w:rPr>
          <w:rFonts w:ascii="Times New Roman" w:hAnsi="Times New Roman" w:cs="Times New Roman"/>
          <w:sz w:val="24"/>
          <w:szCs w:val="24"/>
        </w:rPr>
        <w:t xml:space="preserve">its </w:t>
      </w:r>
      <w:r w:rsidR="000721A4" w:rsidRPr="006B2410">
        <w:rPr>
          <w:rFonts w:ascii="Times New Roman" w:hAnsi="Times New Roman" w:cs="Times New Roman"/>
          <w:sz w:val="24"/>
          <w:szCs w:val="24"/>
        </w:rPr>
        <w:t xml:space="preserve">projected </w:t>
      </w:r>
      <w:r w:rsidR="00986E55" w:rsidRPr="006B2410">
        <w:rPr>
          <w:rFonts w:ascii="Times New Roman" w:hAnsi="Times New Roman" w:cs="Times New Roman"/>
          <w:sz w:val="24"/>
          <w:szCs w:val="24"/>
        </w:rPr>
        <w:t>profit margin to determine the following year’s anticipated expenses. The respondent suggested a</w:t>
      </w:r>
      <w:r w:rsidR="00354190" w:rsidRPr="006B2410">
        <w:rPr>
          <w:rFonts w:ascii="Times New Roman" w:hAnsi="Times New Roman" w:cs="Times New Roman"/>
          <w:sz w:val="24"/>
          <w:szCs w:val="24"/>
        </w:rPr>
        <w:t>n estimated projection</w:t>
      </w:r>
      <w:r w:rsidR="00986E55" w:rsidRPr="006B2410">
        <w:rPr>
          <w:rFonts w:ascii="Times New Roman" w:hAnsi="Times New Roman" w:cs="Times New Roman"/>
          <w:sz w:val="24"/>
          <w:szCs w:val="24"/>
        </w:rPr>
        <w:t xml:space="preserve"> of the future expenses based on a comparison between the existing and anticipated income and expense dynamics in the particular industry the taxpayer operated in.  </w:t>
      </w:r>
      <w:r w:rsidR="0078701A" w:rsidRPr="006B2410">
        <w:rPr>
          <w:rFonts w:ascii="Times New Roman" w:hAnsi="Times New Roman" w:cs="Times New Roman"/>
          <w:sz w:val="24"/>
          <w:szCs w:val="24"/>
        </w:rPr>
        <w:t>The</w:t>
      </w:r>
      <w:r w:rsidR="00D02CBA" w:rsidRPr="006B2410">
        <w:rPr>
          <w:rFonts w:ascii="Times New Roman" w:hAnsi="Times New Roman" w:cs="Times New Roman"/>
          <w:sz w:val="24"/>
          <w:szCs w:val="24"/>
        </w:rPr>
        <w:t xml:space="preserve"> method used would obviously provide a basis for the Commissioner to fix the allowance. </w:t>
      </w:r>
      <w:r w:rsidR="00BA4AF4" w:rsidRPr="006B2410">
        <w:rPr>
          <w:rFonts w:ascii="Times New Roman" w:hAnsi="Times New Roman" w:cs="Times New Roman"/>
          <w:sz w:val="24"/>
          <w:szCs w:val="24"/>
        </w:rPr>
        <w:t xml:space="preserve">In any event, </w:t>
      </w:r>
      <w:r w:rsidR="0093551C" w:rsidRPr="006B2410">
        <w:rPr>
          <w:rFonts w:ascii="Times New Roman" w:hAnsi="Times New Roman" w:cs="Times New Roman"/>
          <w:sz w:val="24"/>
          <w:szCs w:val="24"/>
        </w:rPr>
        <w:t xml:space="preserve">the </w:t>
      </w:r>
      <w:r w:rsidR="00BA4AF4" w:rsidRPr="006B2410">
        <w:rPr>
          <w:rFonts w:ascii="Times New Roman" w:hAnsi="Times New Roman" w:cs="Times New Roman"/>
          <w:sz w:val="24"/>
          <w:szCs w:val="24"/>
        </w:rPr>
        <w:t xml:space="preserve">fixing </w:t>
      </w:r>
      <w:r w:rsidR="002706D2">
        <w:rPr>
          <w:rFonts w:ascii="Times New Roman" w:hAnsi="Times New Roman" w:cs="Times New Roman"/>
          <w:sz w:val="24"/>
          <w:szCs w:val="24"/>
        </w:rPr>
        <w:t xml:space="preserve">of </w:t>
      </w:r>
      <w:r w:rsidR="00BA4AF4" w:rsidRPr="006B2410">
        <w:rPr>
          <w:rFonts w:ascii="Times New Roman" w:hAnsi="Times New Roman" w:cs="Times New Roman"/>
          <w:sz w:val="24"/>
          <w:szCs w:val="24"/>
        </w:rPr>
        <w:t xml:space="preserve">an allowance is </w:t>
      </w:r>
      <w:r w:rsidR="00A85E27" w:rsidRPr="006B2410">
        <w:rPr>
          <w:rFonts w:ascii="Times New Roman" w:hAnsi="Times New Roman" w:cs="Times New Roman"/>
          <w:sz w:val="24"/>
          <w:szCs w:val="24"/>
        </w:rPr>
        <w:t>a separate and specific event</w:t>
      </w:r>
      <w:r w:rsidR="002706D2">
        <w:rPr>
          <w:rFonts w:ascii="Times New Roman" w:hAnsi="Times New Roman" w:cs="Times New Roman"/>
          <w:sz w:val="24"/>
          <w:szCs w:val="24"/>
        </w:rPr>
        <w:t>, which</w:t>
      </w:r>
      <w:r w:rsidR="00A85E27" w:rsidRPr="006B2410">
        <w:rPr>
          <w:rFonts w:ascii="Times New Roman" w:hAnsi="Times New Roman" w:cs="Times New Roman"/>
          <w:sz w:val="24"/>
          <w:szCs w:val="24"/>
        </w:rPr>
        <w:t xml:space="preserve"> precedes the holistic act of </w:t>
      </w:r>
      <w:r w:rsidR="0093551C" w:rsidRPr="006B2410">
        <w:rPr>
          <w:rFonts w:ascii="Times New Roman" w:hAnsi="Times New Roman" w:cs="Times New Roman"/>
          <w:sz w:val="24"/>
          <w:szCs w:val="24"/>
        </w:rPr>
        <w:t xml:space="preserve">assessment.  </w:t>
      </w:r>
    </w:p>
    <w:p w:rsidR="00370715" w:rsidRPr="006B2410" w:rsidRDefault="00370715"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I do not think that the question of their accuracy in retrospect is paramount. What is pertinent </w:t>
      </w:r>
      <w:r w:rsidR="0093551C" w:rsidRPr="006B2410">
        <w:rPr>
          <w:rFonts w:ascii="Times New Roman" w:hAnsi="Times New Roman" w:cs="Times New Roman"/>
          <w:sz w:val="24"/>
          <w:szCs w:val="24"/>
        </w:rPr>
        <w:t xml:space="preserve">is </w:t>
      </w:r>
      <w:r w:rsidR="009A59E0" w:rsidRPr="006B2410">
        <w:rPr>
          <w:rFonts w:ascii="Times New Roman" w:hAnsi="Times New Roman" w:cs="Times New Roman"/>
          <w:sz w:val="24"/>
          <w:szCs w:val="24"/>
        </w:rPr>
        <w:t>the legal basis upon which the amoun</w:t>
      </w:r>
      <w:r w:rsidR="00EE76D4" w:rsidRPr="006B2410">
        <w:rPr>
          <w:rFonts w:ascii="Times New Roman" w:hAnsi="Times New Roman" w:cs="Times New Roman"/>
          <w:sz w:val="24"/>
          <w:szCs w:val="24"/>
        </w:rPr>
        <w:t>ts were</w:t>
      </w:r>
      <w:r w:rsidR="009A59E0" w:rsidRPr="006B2410">
        <w:rPr>
          <w:rFonts w:ascii="Times New Roman" w:hAnsi="Times New Roman" w:cs="Times New Roman"/>
          <w:sz w:val="24"/>
          <w:szCs w:val="24"/>
        </w:rPr>
        <w:t xml:space="preserve"> computed</w:t>
      </w:r>
      <w:r w:rsidR="00EE76D4" w:rsidRPr="006B2410">
        <w:rPr>
          <w:rFonts w:ascii="Times New Roman" w:hAnsi="Times New Roman" w:cs="Times New Roman"/>
          <w:sz w:val="24"/>
          <w:szCs w:val="24"/>
        </w:rPr>
        <w:t xml:space="preserve"> and inserted into the appellant’s tax returns. </w:t>
      </w:r>
      <w:r w:rsidRPr="006B2410">
        <w:rPr>
          <w:rFonts w:ascii="Times New Roman" w:hAnsi="Times New Roman" w:cs="Times New Roman"/>
          <w:sz w:val="24"/>
          <w:szCs w:val="24"/>
        </w:rPr>
        <w:t xml:space="preserve">It was improper for the taxpayer to usurp the function of the Commissioner by fixing the allowance. In the instant case, the appellant was clearly putting the horse before the cart. </w:t>
      </w:r>
    </w:p>
    <w:p w:rsidR="00AD7740" w:rsidRPr="006B2410" w:rsidRDefault="00810332" w:rsidP="003D1FED">
      <w:pPr>
        <w:spacing w:line="360" w:lineRule="auto"/>
        <w:jc w:val="both"/>
        <w:rPr>
          <w:rFonts w:ascii="Times New Roman" w:hAnsi="Times New Roman" w:cs="Times New Roman"/>
          <w:b/>
          <w:sz w:val="24"/>
          <w:szCs w:val="24"/>
        </w:rPr>
      </w:pPr>
      <w:r w:rsidRPr="006B2410">
        <w:rPr>
          <w:rFonts w:ascii="Times New Roman" w:hAnsi="Times New Roman" w:cs="Times New Roman"/>
          <w:i/>
          <w:sz w:val="24"/>
          <w:szCs w:val="24"/>
        </w:rPr>
        <w:t>Whether respondent was correct in deeming appellant to have earned interest on the amounts in question held by GFC and or its head office</w:t>
      </w:r>
      <w:r w:rsidR="00AD7740" w:rsidRPr="006B2410">
        <w:rPr>
          <w:rFonts w:ascii="Times New Roman" w:hAnsi="Times New Roman" w:cs="Times New Roman"/>
          <w:b/>
          <w:sz w:val="24"/>
          <w:szCs w:val="24"/>
          <w:u w:val="single"/>
        </w:rPr>
        <w:t xml:space="preserve"> </w:t>
      </w:r>
    </w:p>
    <w:p w:rsidR="00810332" w:rsidRPr="006B2410" w:rsidRDefault="00355BD4"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It was common cause that the terms of the loan agreement between the Borrower and the Lender were, </w:t>
      </w:r>
      <w:r w:rsidRPr="006B2410">
        <w:rPr>
          <w:rFonts w:ascii="Times New Roman" w:hAnsi="Times New Roman" w:cs="Times New Roman"/>
          <w:i/>
          <w:sz w:val="24"/>
          <w:szCs w:val="24"/>
        </w:rPr>
        <w:t xml:space="preserve">inter alia, </w:t>
      </w:r>
      <w:r w:rsidRPr="006B2410">
        <w:rPr>
          <w:rFonts w:ascii="Times New Roman" w:hAnsi="Times New Roman" w:cs="Times New Roman"/>
          <w:sz w:val="24"/>
          <w:szCs w:val="24"/>
        </w:rPr>
        <w:t xml:space="preserve">that the Lender would disburse the funds due to the Borrower for </w:t>
      </w:r>
      <w:r w:rsidR="00814DA8" w:rsidRPr="006B2410">
        <w:rPr>
          <w:rFonts w:ascii="Times New Roman" w:hAnsi="Times New Roman" w:cs="Times New Roman"/>
          <w:sz w:val="24"/>
          <w:szCs w:val="24"/>
        </w:rPr>
        <w:t xml:space="preserve">payment to the appellant </w:t>
      </w:r>
      <w:r w:rsidRPr="006B2410">
        <w:rPr>
          <w:rFonts w:ascii="Times New Roman" w:hAnsi="Times New Roman" w:cs="Times New Roman"/>
          <w:sz w:val="24"/>
          <w:szCs w:val="24"/>
        </w:rPr>
        <w:t xml:space="preserve">directly to the </w:t>
      </w:r>
      <w:r w:rsidR="00814DA8" w:rsidRPr="006B2410">
        <w:rPr>
          <w:rFonts w:ascii="Times New Roman" w:hAnsi="Times New Roman" w:cs="Times New Roman"/>
          <w:sz w:val="24"/>
          <w:szCs w:val="24"/>
        </w:rPr>
        <w:t>appellant’s</w:t>
      </w:r>
      <w:r w:rsidRPr="006B2410">
        <w:rPr>
          <w:rFonts w:ascii="Times New Roman" w:hAnsi="Times New Roman" w:cs="Times New Roman"/>
          <w:sz w:val="24"/>
          <w:szCs w:val="24"/>
        </w:rPr>
        <w:t xml:space="preserve"> head office in Mauritius. </w:t>
      </w:r>
      <w:r w:rsidR="00810332" w:rsidRPr="006B2410">
        <w:rPr>
          <w:rFonts w:ascii="Times New Roman" w:hAnsi="Times New Roman" w:cs="Times New Roman"/>
          <w:sz w:val="24"/>
          <w:szCs w:val="24"/>
        </w:rPr>
        <w:t xml:space="preserve"> </w:t>
      </w:r>
      <w:r w:rsidRPr="006B2410">
        <w:rPr>
          <w:rFonts w:ascii="Times New Roman" w:hAnsi="Times New Roman" w:cs="Times New Roman"/>
          <w:sz w:val="24"/>
          <w:szCs w:val="24"/>
        </w:rPr>
        <w:t xml:space="preserve">The head office either retained </w:t>
      </w:r>
      <w:r w:rsidR="00814DA8" w:rsidRPr="006B2410">
        <w:rPr>
          <w:rFonts w:ascii="Times New Roman" w:hAnsi="Times New Roman" w:cs="Times New Roman"/>
          <w:sz w:val="24"/>
          <w:szCs w:val="24"/>
        </w:rPr>
        <w:t>the funds or</w:t>
      </w:r>
      <w:r w:rsidRPr="006B2410">
        <w:rPr>
          <w:rFonts w:ascii="Times New Roman" w:hAnsi="Times New Roman" w:cs="Times New Roman"/>
          <w:sz w:val="24"/>
          <w:szCs w:val="24"/>
        </w:rPr>
        <w:t xml:space="preserve"> rechanneled </w:t>
      </w:r>
      <w:r w:rsidR="00814DA8" w:rsidRPr="006B2410">
        <w:rPr>
          <w:rFonts w:ascii="Times New Roman" w:hAnsi="Times New Roman" w:cs="Times New Roman"/>
          <w:sz w:val="24"/>
          <w:szCs w:val="24"/>
        </w:rPr>
        <w:t xml:space="preserve">some of </w:t>
      </w:r>
      <w:r w:rsidRPr="006B2410">
        <w:rPr>
          <w:rFonts w:ascii="Times New Roman" w:hAnsi="Times New Roman" w:cs="Times New Roman"/>
          <w:sz w:val="24"/>
          <w:szCs w:val="24"/>
        </w:rPr>
        <w:t xml:space="preserve">them to its own holding company in South Africa. The </w:t>
      </w:r>
      <w:r w:rsidR="00A72EA3" w:rsidRPr="006B2410">
        <w:rPr>
          <w:rFonts w:ascii="Times New Roman" w:hAnsi="Times New Roman" w:cs="Times New Roman"/>
          <w:sz w:val="24"/>
          <w:szCs w:val="24"/>
        </w:rPr>
        <w:t xml:space="preserve">appellant and the two foreign entities in question </w:t>
      </w:r>
      <w:r w:rsidRPr="006B2410">
        <w:rPr>
          <w:rFonts w:ascii="Times New Roman" w:hAnsi="Times New Roman" w:cs="Times New Roman"/>
          <w:sz w:val="24"/>
          <w:szCs w:val="24"/>
        </w:rPr>
        <w:t xml:space="preserve">were all related parties. It was further common ground that </w:t>
      </w:r>
      <w:r w:rsidR="00A72EA3" w:rsidRPr="006B2410">
        <w:rPr>
          <w:rFonts w:ascii="Times New Roman" w:hAnsi="Times New Roman" w:cs="Times New Roman"/>
          <w:sz w:val="24"/>
          <w:szCs w:val="24"/>
        </w:rPr>
        <w:t>the appellant</w:t>
      </w:r>
      <w:r w:rsidRPr="006B2410">
        <w:rPr>
          <w:rFonts w:ascii="Times New Roman" w:hAnsi="Times New Roman" w:cs="Times New Roman"/>
          <w:sz w:val="24"/>
          <w:szCs w:val="24"/>
        </w:rPr>
        <w:t xml:space="preserve"> would access these funds as and when it required t</w:t>
      </w:r>
      <w:r w:rsidR="009A59E0" w:rsidRPr="006B2410">
        <w:rPr>
          <w:rFonts w:ascii="Times New Roman" w:hAnsi="Times New Roman" w:cs="Times New Roman"/>
          <w:sz w:val="24"/>
          <w:szCs w:val="24"/>
        </w:rPr>
        <w:t>hem from these two related parties</w:t>
      </w:r>
      <w:r w:rsidRPr="006B2410">
        <w:rPr>
          <w:rFonts w:ascii="Times New Roman" w:hAnsi="Times New Roman" w:cs="Times New Roman"/>
          <w:sz w:val="24"/>
          <w:szCs w:val="24"/>
        </w:rPr>
        <w:t>.</w:t>
      </w:r>
      <w:r w:rsidR="00A72EA3" w:rsidRPr="006B2410">
        <w:rPr>
          <w:rFonts w:ascii="Times New Roman" w:hAnsi="Times New Roman" w:cs="Times New Roman"/>
          <w:sz w:val="24"/>
          <w:szCs w:val="24"/>
        </w:rPr>
        <w:t xml:space="preserve"> I</w:t>
      </w:r>
      <w:r w:rsidR="009A59E0" w:rsidRPr="006B2410">
        <w:rPr>
          <w:rFonts w:ascii="Times New Roman" w:hAnsi="Times New Roman" w:cs="Times New Roman"/>
          <w:sz w:val="24"/>
          <w:szCs w:val="24"/>
        </w:rPr>
        <w:t xml:space="preserve">t was the evidence </w:t>
      </w:r>
      <w:r w:rsidR="00093215">
        <w:rPr>
          <w:rFonts w:ascii="Times New Roman" w:hAnsi="Times New Roman" w:cs="Times New Roman"/>
          <w:sz w:val="24"/>
          <w:szCs w:val="24"/>
        </w:rPr>
        <w:t>of the chartered accountant that</w:t>
      </w:r>
      <w:r w:rsidR="009A59E0" w:rsidRPr="006B2410">
        <w:rPr>
          <w:rFonts w:ascii="Times New Roman" w:hAnsi="Times New Roman" w:cs="Times New Roman"/>
          <w:sz w:val="24"/>
          <w:szCs w:val="24"/>
        </w:rPr>
        <w:t xml:space="preserve"> in the </w:t>
      </w:r>
      <w:r w:rsidR="00A72EA3" w:rsidRPr="006B2410">
        <w:rPr>
          <w:rFonts w:ascii="Times New Roman" w:hAnsi="Times New Roman" w:cs="Times New Roman"/>
          <w:sz w:val="24"/>
          <w:szCs w:val="24"/>
        </w:rPr>
        <w:t xml:space="preserve">financial statements </w:t>
      </w:r>
      <w:r w:rsidR="009A59E0" w:rsidRPr="006B2410">
        <w:rPr>
          <w:rFonts w:ascii="Times New Roman" w:hAnsi="Times New Roman" w:cs="Times New Roman"/>
          <w:sz w:val="24"/>
          <w:szCs w:val="24"/>
        </w:rPr>
        <w:t xml:space="preserve">of the appellant and the related entities these amounts were treated as interest free loans without a due date. </w:t>
      </w:r>
      <w:r w:rsidR="0045232F" w:rsidRPr="006B2410">
        <w:rPr>
          <w:rFonts w:ascii="Times New Roman" w:hAnsi="Times New Roman" w:cs="Times New Roman"/>
          <w:sz w:val="24"/>
          <w:szCs w:val="24"/>
        </w:rPr>
        <w:t xml:space="preserve">It was further common ground that the respondent invoked the provisions </w:t>
      </w:r>
      <w:r w:rsidR="004B40DA" w:rsidRPr="006B2410">
        <w:rPr>
          <w:rFonts w:ascii="Times New Roman" w:hAnsi="Times New Roman" w:cs="Times New Roman"/>
          <w:sz w:val="24"/>
          <w:szCs w:val="24"/>
        </w:rPr>
        <w:t xml:space="preserve">Article IV and Article 9 </w:t>
      </w:r>
      <w:r w:rsidR="0045232F" w:rsidRPr="006B2410">
        <w:rPr>
          <w:rFonts w:ascii="Times New Roman" w:hAnsi="Times New Roman" w:cs="Times New Roman"/>
          <w:sz w:val="24"/>
          <w:szCs w:val="24"/>
        </w:rPr>
        <w:t xml:space="preserve">of the Double Taxation Agreements between </w:t>
      </w:r>
      <w:r w:rsidR="0045232F" w:rsidRPr="006B2410">
        <w:rPr>
          <w:rFonts w:ascii="Times New Roman" w:hAnsi="Times New Roman" w:cs="Times New Roman"/>
          <w:sz w:val="24"/>
          <w:szCs w:val="24"/>
        </w:rPr>
        <w:lastRenderedPageBreak/>
        <w:t>Zimbabwe and Mauritius and Zimbabwe and South Africa</w:t>
      </w:r>
      <w:r w:rsidR="004B40DA" w:rsidRPr="006B2410">
        <w:rPr>
          <w:rFonts w:ascii="Times New Roman" w:hAnsi="Times New Roman" w:cs="Times New Roman"/>
          <w:sz w:val="24"/>
          <w:szCs w:val="24"/>
        </w:rPr>
        <w:t>, respectively,</w:t>
      </w:r>
      <w:r w:rsidR="0045232F" w:rsidRPr="006B2410">
        <w:rPr>
          <w:rFonts w:ascii="Times New Roman" w:hAnsi="Times New Roman" w:cs="Times New Roman"/>
          <w:sz w:val="24"/>
          <w:szCs w:val="24"/>
        </w:rPr>
        <w:t xml:space="preserve"> and </w:t>
      </w:r>
      <w:r w:rsidR="00B856DD" w:rsidRPr="006B2410">
        <w:rPr>
          <w:rFonts w:ascii="Times New Roman" w:hAnsi="Times New Roman" w:cs="Times New Roman"/>
          <w:sz w:val="24"/>
          <w:szCs w:val="24"/>
        </w:rPr>
        <w:t xml:space="preserve">applied the average interest rates in the </w:t>
      </w:r>
      <w:r w:rsidR="004B40DA" w:rsidRPr="006B2410">
        <w:rPr>
          <w:rFonts w:ascii="Times New Roman" w:hAnsi="Times New Roman" w:cs="Times New Roman"/>
          <w:sz w:val="24"/>
          <w:szCs w:val="24"/>
        </w:rPr>
        <w:t xml:space="preserve">these two countries provided by their respective central banks to </w:t>
      </w:r>
      <w:r w:rsidR="00FE4046" w:rsidRPr="006B2410">
        <w:rPr>
          <w:rFonts w:ascii="Times New Roman" w:hAnsi="Times New Roman" w:cs="Times New Roman"/>
          <w:sz w:val="24"/>
          <w:szCs w:val="24"/>
        </w:rPr>
        <w:t xml:space="preserve">duly </w:t>
      </w:r>
      <w:r w:rsidR="004B40DA" w:rsidRPr="006B2410">
        <w:rPr>
          <w:rFonts w:ascii="Times New Roman" w:hAnsi="Times New Roman" w:cs="Times New Roman"/>
          <w:sz w:val="24"/>
          <w:szCs w:val="24"/>
        </w:rPr>
        <w:t>impose</w:t>
      </w:r>
      <w:r w:rsidR="0045232F" w:rsidRPr="006B2410">
        <w:rPr>
          <w:rFonts w:ascii="Times New Roman" w:hAnsi="Times New Roman" w:cs="Times New Roman"/>
          <w:sz w:val="24"/>
          <w:szCs w:val="24"/>
        </w:rPr>
        <w:t xml:space="preserve"> notional interest on these balances of US$939 807.87 for the 2011 tax year, US$ 1 284 601 for the 2012 tax year, US$ 484 522.59 for the 2013 tax year and US$ 484 523 for the 2014 tax year</w:t>
      </w:r>
      <w:r w:rsidR="00CE1F5E" w:rsidRPr="006B2410">
        <w:rPr>
          <w:rStyle w:val="FootnoteReference"/>
          <w:rFonts w:ascii="Times New Roman" w:hAnsi="Times New Roman" w:cs="Times New Roman"/>
          <w:sz w:val="24"/>
          <w:szCs w:val="24"/>
        </w:rPr>
        <w:footnoteReference w:id="12"/>
      </w:r>
      <w:r w:rsidR="0045232F" w:rsidRPr="006B2410">
        <w:rPr>
          <w:rFonts w:ascii="Times New Roman" w:hAnsi="Times New Roman" w:cs="Times New Roman"/>
          <w:sz w:val="24"/>
          <w:szCs w:val="24"/>
        </w:rPr>
        <w:t xml:space="preserve">. </w:t>
      </w:r>
    </w:p>
    <w:p w:rsidR="003916AF" w:rsidRPr="006B2410" w:rsidRDefault="000302BA"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appellant did not challenge the method of computation or the amount of notional interest imposed by the respondent. Rather, it attacked the basis </w:t>
      </w:r>
      <w:r w:rsidR="00C42626" w:rsidRPr="006B2410">
        <w:rPr>
          <w:rFonts w:ascii="Times New Roman" w:hAnsi="Times New Roman" w:cs="Times New Roman"/>
          <w:sz w:val="24"/>
          <w:szCs w:val="24"/>
        </w:rPr>
        <w:t>upon which the deemed interest was raised.</w:t>
      </w:r>
      <w:r w:rsidRPr="006B2410">
        <w:rPr>
          <w:rFonts w:ascii="Times New Roman" w:hAnsi="Times New Roman" w:cs="Times New Roman"/>
          <w:sz w:val="24"/>
          <w:szCs w:val="24"/>
        </w:rPr>
        <w:t xml:space="preserve"> </w:t>
      </w:r>
      <w:r w:rsidR="003916AF" w:rsidRPr="006B2410">
        <w:rPr>
          <w:rFonts w:ascii="Times New Roman" w:hAnsi="Times New Roman" w:cs="Times New Roman"/>
          <w:sz w:val="24"/>
          <w:szCs w:val="24"/>
        </w:rPr>
        <w:t xml:space="preserve">I agree with </w:t>
      </w:r>
      <w:r w:rsidR="00CF7492" w:rsidRPr="006B2410">
        <w:rPr>
          <w:rFonts w:ascii="Times New Roman" w:hAnsi="Times New Roman" w:cs="Times New Roman"/>
          <w:sz w:val="24"/>
          <w:szCs w:val="24"/>
        </w:rPr>
        <w:t xml:space="preserve">Mr </w:t>
      </w:r>
      <w:r w:rsidR="00CF7492" w:rsidRPr="006B2410">
        <w:rPr>
          <w:rFonts w:ascii="Times New Roman" w:hAnsi="Times New Roman" w:cs="Times New Roman"/>
          <w:i/>
          <w:sz w:val="24"/>
          <w:szCs w:val="24"/>
        </w:rPr>
        <w:t>Tivadar</w:t>
      </w:r>
      <w:r w:rsidR="003916AF" w:rsidRPr="006B2410">
        <w:rPr>
          <w:rFonts w:ascii="Times New Roman" w:hAnsi="Times New Roman" w:cs="Times New Roman"/>
          <w:i/>
          <w:sz w:val="24"/>
          <w:szCs w:val="24"/>
        </w:rPr>
        <w:t xml:space="preserve"> </w:t>
      </w:r>
      <w:r w:rsidR="003916AF" w:rsidRPr="006B2410">
        <w:rPr>
          <w:rFonts w:ascii="Times New Roman" w:hAnsi="Times New Roman" w:cs="Times New Roman"/>
          <w:sz w:val="24"/>
          <w:szCs w:val="24"/>
        </w:rPr>
        <w:t>th</w:t>
      </w:r>
      <w:r w:rsidR="001B5E4C" w:rsidRPr="006B2410">
        <w:rPr>
          <w:rFonts w:ascii="Times New Roman" w:hAnsi="Times New Roman" w:cs="Times New Roman"/>
          <w:sz w:val="24"/>
          <w:szCs w:val="24"/>
        </w:rPr>
        <w:t>at th</w:t>
      </w:r>
      <w:r w:rsidR="003916AF" w:rsidRPr="006B2410">
        <w:rPr>
          <w:rFonts w:ascii="Times New Roman" w:hAnsi="Times New Roman" w:cs="Times New Roman"/>
          <w:sz w:val="24"/>
          <w:szCs w:val="24"/>
        </w:rPr>
        <w:t xml:space="preserve">e Income Tax Act does not provide for the deeming of </w:t>
      </w:r>
      <w:r w:rsidR="00253FB1" w:rsidRPr="006B2410">
        <w:rPr>
          <w:rFonts w:ascii="Times New Roman" w:hAnsi="Times New Roman" w:cs="Times New Roman"/>
          <w:sz w:val="24"/>
          <w:szCs w:val="24"/>
        </w:rPr>
        <w:t>interest in circumstances where a taxpayer advances a tax free loan to any party, whether related or not. In my view, the Commissioner could</w:t>
      </w:r>
      <w:r w:rsidR="00C42626" w:rsidRPr="006B2410">
        <w:rPr>
          <w:rFonts w:ascii="Times New Roman" w:hAnsi="Times New Roman" w:cs="Times New Roman"/>
          <w:sz w:val="24"/>
          <w:szCs w:val="24"/>
        </w:rPr>
        <w:t xml:space="preserve"> </w:t>
      </w:r>
      <w:r w:rsidR="001B5E4C" w:rsidRPr="006B2410">
        <w:rPr>
          <w:rFonts w:ascii="Times New Roman" w:hAnsi="Times New Roman" w:cs="Times New Roman"/>
          <w:sz w:val="24"/>
          <w:szCs w:val="24"/>
        </w:rPr>
        <w:t xml:space="preserve">not have raised notional interest at the time without first invoking </w:t>
      </w:r>
      <w:r w:rsidR="00253FB1" w:rsidRPr="006B2410">
        <w:rPr>
          <w:rFonts w:ascii="Times New Roman" w:hAnsi="Times New Roman" w:cs="Times New Roman"/>
          <w:sz w:val="24"/>
          <w:szCs w:val="24"/>
        </w:rPr>
        <w:t xml:space="preserve">the provisions of s98 of the Act.  In terms of s 91 (1) of the Act, DTAs are </w:t>
      </w:r>
      <w:r w:rsidR="00C42626" w:rsidRPr="006B2410">
        <w:rPr>
          <w:rFonts w:ascii="Times New Roman" w:hAnsi="Times New Roman" w:cs="Times New Roman"/>
          <w:sz w:val="24"/>
          <w:szCs w:val="24"/>
        </w:rPr>
        <w:t xml:space="preserve">invoked against an income tax liability arising from the Income Tax Act. I agree with Mr </w:t>
      </w:r>
      <w:r w:rsidR="00C42626" w:rsidRPr="006B2410">
        <w:rPr>
          <w:rFonts w:ascii="Times New Roman" w:hAnsi="Times New Roman" w:cs="Times New Roman"/>
          <w:i/>
          <w:sz w:val="24"/>
          <w:szCs w:val="24"/>
        </w:rPr>
        <w:t>Tivadar</w:t>
      </w:r>
      <w:r w:rsidR="00C42626" w:rsidRPr="006B2410">
        <w:rPr>
          <w:rFonts w:ascii="Times New Roman" w:hAnsi="Times New Roman" w:cs="Times New Roman"/>
          <w:sz w:val="24"/>
          <w:szCs w:val="24"/>
        </w:rPr>
        <w:t xml:space="preserve"> that by applying the provisions of the DTAs before invoking the relevant charging section in the Income Tax Act, the respondent was </w:t>
      </w:r>
      <w:r w:rsidR="00C97B79">
        <w:rPr>
          <w:rFonts w:ascii="Times New Roman" w:hAnsi="Times New Roman" w:cs="Times New Roman"/>
          <w:sz w:val="24"/>
          <w:szCs w:val="24"/>
        </w:rPr>
        <w:t>not only</w:t>
      </w:r>
      <w:r w:rsidR="001B5E4C" w:rsidRPr="006B2410">
        <w:rPr>
          <w:rFonts w:ascii="Times New Roman" w:hAnsi="Times New Roman" w:cs="Times New Roman"/>
          <w:sz w:val="24"/>
          <w:szCs w:val="24"/>
        </w:rPr>
        <w:t xml:space="preserve"> </w:t>
      </w:r>
      <w:r w:rsidR="00C42626" w:rsidRPr="006B2410">
        <w:rPr>
          <w:rFonts w:ascii="Times New Roman" w:hAnsi="Times New Roman" w:cs="Times New Roman"/>
          <w:sz w:val="24"/>
          <w:szCs w:val="24"/>
        </w:rPr>
        <w:t>putting the cart before the horse</w:t>
      </w:r>
      <w:r w:rsidR="00C97B79">
        <w:rPr>
          <w:rFonts w:ascii="Times New Roman" w:hAnsi="Times New Roman" w:cs="Times New Roman"/>
          <w:sz w:val="24"/>
          <w:szCs w:val="24"/>
        </w:rPr>
        <w:t xml:space="preserve"> but was also letting the tail wag the dog.</w:t>
      </w:r>
      <w:r w:rsidR="00C42626" w:rsidRPr="006B2410">
        <w:rPr>
          <w:rFonts w:ascii="Times New Roman" w:hAnsi="Times New Roman" w:cs="Times New Roman"/>
          <w:sz w:val="24"/>
          <w:szCs w:val="24"/>
        </w:rPr>
        <w:t xml:space="preserve"> </w:t>
      </w:r>
    </w:p>
    <w:p w:rsidR="00C42626" w:rsidRPr="006B2410" w:rsidRDefault="00257F5D" w:rsidP="003D1FED">
      <w:pPr>
        <w:spacing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I will direct the respondent to reverse</w:t>
      </w:r>
      <w:r w:rsidR="00C42626" w:rsidRPr="006B2410">
        <w:rPr>
          <w:rFonts w:ascii="Times New Roman" w:hAnsi="Times New Roman" w:cs="Times New Roman"/>
          <w:sz w:val="24"/>
          <w:szCs w:val="24"/>
        </w:rPr>
        <w:t xml:space="preserve"> the deemed interest it added to the appellant’s taxable income in each of the four tax years.  </w:t>
      </w:r>
    </w:p>
    <w:p w:rsidR="00810332" w:rsidRPr="006B2410" w:rsidRDefault="00810332" w:rsidP="00810332">
      <w:pPr>
        <w:jc w:val="both"/>
        <w:rPr>
          <w:rFonts w:ascii="Times New Roman" w:hAnsi="Times New Roman" w:cs="Times New Roman"/>
          <w:i/>
          <w:sz w:val="24"/>
          <w:szCs w:val="24"/>
        </w:rPr>
      </w:pPr>
      <w:r w:rsidRPr="006B2410">
        <w:rPr>
          <w:rFonts w:ascii="Times New Roman" w:hAnsi="Times New Roman" w:cs="Times New Roman"/>
          <w:i/>
          <w:sz w:val="24"/>
          <w:szCs w:val="24"/>
        </w:rPr>
        <w:t>Whether the income of US$ 5 262 730.37 reflected in the appellant’s invoice 40 accrued to appellant before or after 30 June 2012.</w:t>
      </w:r>
    </w:p>
    <w:p w:rsidR="00DC7708" w:rsidRPr="006B2410" w:rsidRDefault="00810332"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appellant raised invoice 40 for US$ 5 262 730.37 against the Employer on 25 June 2012. The appellant’s 2011 tax year corresponded with its 30 June 2012 financial year. The invoice was certified by the employer on 9 July 2012. In terms of </w:t>
      </w:r>
      <w:r w:rsidR="00580EB1" w:rsidRPr="006B2410">
        <w:rPr>
          <w:rFonts w:ascii="Times New Roman" w:hAnsi="Times New Roman" w:cs="Times New Roman"/>
          <w:sz w:val="24"/>
          <w:szCs w:val="24"/>
        </w:rPr>
        <w:t xml:space="preserve">sub-clauses 14.6 and 14.7 of </w:t>
      </w:r>
      <w:r w:rsidRPr="006B2410">
        <w:rPr>
          <w:rFonts w:ascii="Times New Roman" w:hAnsi="Times New Roman" w:cs="Times New Roman"/>
          <w:sz w:val="24"/>
          <w:szCs w:val="24"/>
        </w:rPr>
        <w:t>the contract between the parties</w:t>
      </w:r>
      <w:r w:rsidR="00EE0E4A">
        <w:rPr>
          <w:rFonts w:ascii="Times New Roman" w:hAnsi="Times New Roman" w:cs="Times New Roman"/>
          <w:sz w:val="24"/>
          <w:szCs w:val="24"/>
        </w:rPr>
        <w:t>,</w:t>
      </w:r>
      <w:r w:rsidRPr="006B2410">
        <w:rPr>
          <w:rFonts w:ascii="Times New Roman" w:hAnsi="Times New Roman" w:cs="Times New Roman"/>
          <w:sz w:val="24"/>
          <w:szCs w:val="24"/>
        </w:rPr>
        <w:t xml:space="preserve"> the amount only became due and payable to the appellant on certification by the employer</w:t>
      </w:r>
      <w:r w:rsidR="00580EB1" w:rsidRPr="006B2410">
        <w:rPr>
          <w:rFonts w:ascii="Times New Roman" w:hAnsi="Times New Roman" w:cs="Times New Roman"/>
          <w:sz w:val="24"/>
          <w:szCs w:val="24"/>
        </w:rPr>
        <w:t xml:space="preserve"> or within 28 days if the employer did not </w:t>
      </w:r>
      <w:r w:rsidR="004131A3" w:rsidRPr="006B2410">
        <w:rPr>
          <w:rFonts w:ascii="Times New Roman" w:hAnsi="Times New Roman" w:cs="Times New Roman"/>
          <w:sz w:val="24"/>
          <w:szCs w:val="24"/>
        </w:rPr>
        <w:t>object to</w:t>
      </w:r>
      <w:r w:rsidR="00580EB1" w:rsidRPr="006B2410">
        <w:rPr>
          <w:rFonts w:ascii="Times New Roman" w:hAnsi="Times New Roman" w:cs="Times New Roman"/>
          <w:sz w:val="24"/>
          <w:szCs w:val="24"/>
        </w:rPr>
        <w:t xml:space="preserve"> </w:t>
      </w:r>
      <w:r w:rsidR="004E3289" w:rsidRPr="006B2410">
        <w:rPr>
          <w:rFonts w:ascii="Times New Roman" w:hAnsi="Times New Roman" w:cs="Times New Roman"/>
          <w:sz w:val="24"/>
          <w:szCs w:val="24"/>
        </w:rPr>
        <w:t xml:space="preserve">its contents. </w:t>
      </w:r>
      <w:r w:rsidR="00F10372" w:rsidRPr="006B2410">
        <w:rPr>
          <w:rFonts w:ascii="Times New Roman" w:hAnsi="Times New Roman" w:cs="Times New Roman"/>
          <w:sz w:val="24"/>
          <w:szCs w:val="24"/>
        </w:rPr>
        <w:t xml:space="preserve">The appellant excluded this amount from its 2011 year of assessment income but included it in the 2012 tax year. The respondent deducted it from the 2012 tax year and added it back to </w:t>
      </w:r>
      <w:r w:rsidR="00770EFF" w:rsidRPr="006B2410">
        <w:rPr>
          <w:rFonts w:ascii="Times New Roman" w:hAnsi="Times New Roman" w:cs="Times New Roman"/>
          <w:sz w:val="24"/>
          <w:szCs w:val="24"/>
        </w:rPr>
        <w:t>the 2011</w:t>
      </w:r>
      <w:r w:rsidR="00F10372" w:rsidRPr="006B2410">
        <w:rPr>
          <w:rFonts w:ascii="Times New Roman" w:hAnsi="Times New Roman" w:cs="Times New Roman"/>
          <w:sz w:val="24"/>
          <w:szCs w:val="24"/>
        </w:rPr>
        <w:t xml:space="preserve"> taxable income.  While the appellant contended that the invoiced amount accrued in the 2012 tax year, the respondent </w:t>
      </w:r>
      <w:r w:rsidR="00770EFF" w:rsidRPr="006B2410">
        <w:rPr>
          <w:rFonts w:ascii="Times New Roman" w:hAnsi="Times New Roman" w:cs="Times New Roman"/>
          <w:sz w:val="24"/>
          <w:szCs w:val="24"/>
        </w:rPr>
        <w:t xml:space="preserve">contended that it did so in the 2011 tax year.  </w:t>
      </w:r>
    </w:p>
    <w:p w:rsidR="00437C0B" w:rsidRPr="006B2410" w:rsidRDefault="005D1208"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contrary position taken by the parties once again brings into focus the difference between accrued to and incurred. </w:t>
      </w:r>
      <w:r w:rsidR="00770EFF" w:rsidRPr="006B2410">
        <w:rPr>
          <w:rFonts w:ascii="Times New Roman" w:hAnsi="Times New Roman" w:cs="Times New Roman"/>
          <w:sz w:val="24"/>
          <w:szCs w:val="24"/>
        </w:rPr>
        <w:t xml:space="preserve">The words “accrued to” have been equated with “to become </w:t>
      </w:r>
      <w:r w:rsidR="00770EFF" w:rsidRPr="006B2410">
        <w:rPr>
          <w:rFonts w:ascii="Times New Roman" w:hAnsi="Times New Roman" w:cs="Times New Roman"/>
          <w:sz w:val="24"/>
          <w:szCs w:val="24"/>
        </w:rPr>
        <w:lastRenderedPageBreak/>
        <w:t xml:space="preserve">entitled to” in such cases as </w:t>
      </w:r>
      <w:r w:rsidR="00770EFF" w:rsidRPr="006B2410">
        <w:rPr>
          <w:rFonts w:ascii="Times New Roman" w:hAnsi="Times New Roman" w:cs="Times New Roman"/>
          <w:i/>
          <w:sz w:val="24"/>
          <w:szCs w:val="24"/>
        </w:rPr>
        <w:t xml:space="preserve">Commissioner for Inland Revenue v People’s Stores (Walvis Bay) (Pty) Ltd </w:t>
      </w:r>
      <w:r w:rsidR="00770EFF" w:rsidRPr="006B2410">
        <w:rPr>
          <w:rFonts w:ascii="Times New Roman" w:hAnsi="Times New Roman" w:cs="Times New Roman"/>
          <w:sz w:val="24"/>
          <w:szCs w:val="24"/>
        </w:rPr>
        <w:t xml:space="preserve">1990 (2) ZLR 353 (A) </w:t>
      </w:r>
      <w:r w:rsidRPr="006B2410">
        <w:rPr>
          <w:rFonts w:ascii="Times New Roman" w:hAnsi="Times New Roman" w:cs="Times New Roman"/>
          <w:sz w:val="24"/>
          <w:szCs w:val="24"/>
        </w:rPr>
        <w:t xml:space="preserve">at 362G and 367C while according </w:t>
      </w:r>
      <w:r w:rsidR="00171770" w:rsidRPr="006B2410">
        <w:rPr>
          <w:rFonts w:ascii="Times New Roman" w:hAnsi="Times New Roman" w:cs="Times New Roman"/>
          <w:sz w:val="24"/>
          <w:szCs w:val="24"/>
        </w:rPr>
        <w:t xml:space="preserve">to such cases as </w:t>
      </w:r>
      <w:r w:rsidR="00622254">
        <w:rPr>
          <w:rFonts w:ascii="Times New Roman" w:hAnsi="Times New Roman" w:cs="Times New Roman"/>
          <w:i/>
          <w:sz w:val="24"/>
          <w:szCs w:val="24"/>
        </w:rPr>
        <w:t xml:space="preserve">Lategan </w:t>
      </w:r>
      <w:r w:rsidR="00622254" w:rsidRPr="003D1FED">
        <w:rPr>
          <w:rFonts w:ascii="Times New Roman" w:hAnsi="Times New Roman" w:cs="Times New Roman"/>
          <w:sz w:val="24"/>
          <w:szCs w:val="24"/>
        </w:rPr>
        <w:t>v</w:t>
      </w:r>
      <w:r w:rsidR="00622254">
        <w:rPr>
          <w:rFonts w:ascii="Times New Roman" w:hAnsi="Times New Roman" w:cs="Times New Roman"/>
          <w:i/>
          <w:sz w:val="24"/>
          <w:szCs w:val="24"/>
        </w:rPr>
        <w:t xml:space="preserve"> Commissioner for Inland Revenue </w:t>
      </w:r>
      <w:r w:rsidR="00BD0A20">
        <w:rPr>
          <w:rFonts w:ascii="Times New Roman" w:hAnsi="Times New Roman" w:cs="Times New Roman"/>
          <w:sz w:val="24"/>
          <w:szCs w:val="24"/>
        </w:rPr>
        <w:t xml:space="preserve">1926 CPD </w:t>
      </w:r>
      <w:r w:rsidR="001352B6">
        <w:rPr>
          <w:rFonts w:ascii="Times New Roman" w:hAnsi="Times New Roman" w:cs="Times New Roman"/>
          <w:sz w:val="24"/>
          <w:szCs w:val="24"/>
        </w:rPr>
        <w:t xml:space="preserve">203 </w:t>
      </w:r>
      <w:r w:rsidR="00BD0A20">
        <w:rPr>
          <w:rFonts w:ascii="Times New Roman" w:hAnsi="Times New Roman" w:cs="Times New Roman"/>
          <w:sz w:val="24"/>
          <w:szCs w:val="24"/>
        </w:rPr>
        <w:t xml:space="preserve">and </w:t>
      </w:r>
      <w:r w:rsidR="00171770" w:rsidRPr="006B2410">
        <w:rPr>
          <w:rFonts w:ascii="Times New Roman" w:hAnsi="Times New Roman" w:cs="Times New Roman"/>
          <w:i/>
          <w:sz w:val="24"/>
          <w:szCs w:val="24"/>
        </w:rPr>
        <w:t>Edgars S</w:t>
      </w:r>
      <w:r w:rsidR="00622254">
        <w:rPr>
          <w:rFonts w:ascii="Times New Roman" w:hAnsi="Times New Roman" w:cs="Times New Roman"/>
          <w:i/>
          <w:sz w:val="24"/>
          <w:szCs w:val="24"/>
        </w:rPr>
        <w:t>t</w:t>
      </w:r>
      <w:r w:rsidR="00171770" w:rsidRPr="006B2410">
        <w:rPr>
          <w:rFonts w:ascii="Times New Roman" w:hAnsi="Times New Roman" w:cs="Times New Roman"/>
          <w:i/>
          <w:sz w:val="24"/>
          <w:szCs w:val="24"/>
        </w:rPr>
        <w:t xml:space="preserve">ores Ltd </w:t>
      </w:r>
      <w:r w:rsidR="00171770" w:rsidRPr="006B2410">
        <w:rPr>
          <w:rFonts w:ascii="Times New Roman" w:hAnsi="Times New Roman" w:cs="Times New Roman"/>
          <w:sz w:val="24"/>
          <w:szCs w:val="24"/>
        </w:rPr>
        <w:t>v</w:t>
      </w:r>
      <w:r w:rsidR="00171770" w:rsidRPr="006B2410">
        <w:rPr>
          <w:rFonts w:ascii="Times New Roman" w:hAnsi="Times New Roman" w:cs="Times New Roman"/>
          <w:i/>
          <w:sz w:val="24"/>
          <w:szCs w:val="24"/>
        </w:rPr>
        <w:t xml:space="preserve"> Commissioner for Inland Revenue</w:t>
      </w:r>
      <w:r w:rsidR="00171770" w:rsidRPr="006B2410">
        <w:rPr>
          <w:rFonts w:ascii="Times New Roman" w:hAnsi="Times New Roman" w:cs="Times New Roman"/>
          <w:sz w:val="24"/>
          <w:szCs w:val="24"/>
        </w:rPr>
        <w:t xml:space="preserve"> 1988 (3) SA 876 (A) at 889A-C; 50 SATC 81 (A) at 90</w:t>
      </w:r>
      <w:r w:rsidR="00171770" w:rsidRPr="006B2410">
        <w:rPr>
          <w:rFonts w:ascii="Times New Roman" w:hAnsi="Times New Roman" w:cs="Times New Roman"/>
          <w:i/>
          <w:sz w:val="24"/>
          <w:szCs w:val="24"/>
        </w:rPr>
        <w:t xml:space="preserve"> </w:t>
      </w:r>
      <w:r w:rsidR="00171770" w:rsidRPr="006B2410">
        <w:rPr>
          <w:rFonts w:ascii="Times New Roman" w:hAnsi="Times New Roman" w:cs="Times New Roman"/>
          <w:sz w:val="24"/>
          <w:szCs w:val="24"/>
        </w:rPr>
        <w:t xml:space="preserve">and </w:t>
      </w:r>
      <w:r w:rsidR="00171770" w:rsidRPr="006B2410">
        <w:rPr>
          <w:rFonts w:ascii="Times New Roman" w:hAnsi="Times New Roman" w:cs="Times New Roman"/>
          <w:i/>
          <w:sz w:val="24"/>
          <w:szCs w:val="24"/>
        </w:rPr>
        <w:t>ITC 1587</w:t>
      </w:r>
      <w:r w:rsidR="00171770" w:rsidRPr="006B2410">
        <w:rPr>
          <w:rFonts w:ascii="Times New Roman" w:hAnsi="Times New Roman" w:cs="Times New Roman"/>
          <w:sz w:val="24"/>
          <w:szCs w:val="24"/>
        </w:rPr>
        <w:t xml:space="preserve"> (1994) 57 SATC 97 (T) at 103-104 i</w:t>
      </w:r>
      <w:r w:rsidRPr="006B2410">
        <w:rPr>
          <w:rFonts w:ascii="Times New Roman" w:hAnsi="Times New Roman" w:cs="Times New Roman"/>
          <w:sz w:val="24"/>
          <w:szCs w:val="24"/>
        </w:rPr>
        <w:t>ncurred denotes “an unconditional obligation to pay</w:t>
      </w:r>
      <w:r w:rsidR="00171770" w:rsidRPr="006B2410">
        <w:rPr>
          <w:rFonts w:ascii="Times New Roman" w:hAnsi="Times New Roman" w:cs="Times New Roman"/>
          <w:sz w:val="24"/>
          <w:szCs w:val="24"/>
        </w:rPr>
        <w:t xml:space="preserve">”. </w:t>
      </w:r>
      <w:r w:rsidR="004E3289" w:rsidRPr="006B2410">
        <w:rPr>
          <w:rFonts w:ascii="Times New Roman" w:hAnsi="Times New Roman" w:cs="Times New Roman"/>
          <w:sz w:val="24"/>
          <w:szCs w:val="24"/>
        </w:rPr>
        <w:t xml:space="preserve"> </w:t>
      </w:r>
      <w:r w:rsidR="00171770" w:rsidRPr="006B2410">
        <w:rPr>
          <w:rFonts w:ascii="Times New Roman" w:hAnsi="Times New Roman" w:cs="Times New Roman"/>
          <w:sz w:val="24"/>
          <w:szCs w:val="24"/>
        </w:rPr>
        <w:t>The construction given to the words “accrued to”</w:t>
      </w:r>
      <w:r w:rsidR="00C37C1A" w:rsidRPr="006B2410">
        <w:rPr>
          <w:rFonts w:ascii="Times New Roman" w:hAnsi="Times New Roman" w:cs="Times New Roman"/>
          <w:sz w:val="24"/>
          <w:szCs w:val="24"/>
        </w:rPr>
        <w:t xml:space="preserve"> </w:t>
      </w:r>
      <w:r w:rsidR="00171770" w:rsidRPr="006B2410">
        <w:rPr>
          <w:rFonts w:ascii="Times New Roman" w:hAnsi="Times New Roman" w:cs="Times New Roman"/>
          <w:sz w:val="24"/>
          <w:szCs w:val="24"/>
        </w:rPr>
        <w:t xml:space="preserve">by the respondent was jettisoned in the </w:t>
      </w:r>
      <w:r w:rsidR="00C37C1A" w:rsidRPr="006B2410">
        <w:rPr>
          <w:rFonts w:ascii="Times New Roman" w:hAnsi="Times New Roman" w:cs="Times New Roman"/>
          <w:i/>
          <w:sz w:val="24"/>
          <w:szCs w:val="24"/>
        </w:rPr>
        <w:t>Peoples Stores (Walvis Bay</w:t>
      </w:r>
      <w:r w:rsidR="00C37C1A" w:rsidRPr="006B2410">
        <w:rPr>
          <w:rFonts w:ascii="Times New Roman" w:hAnsi="Times New Roman" w:cs="Times New Roman"/>
          <w:sz w:val="24"/>
          <w:szCs w:val="24"/>
        </w:rPr>
        <w:t>)</w:t>
      </w:r>
      <w:r w:rsidR="00C37C1A" w:rsidRPr="006B2410">
        <w:rPr>
          <w:rFonts w:ascii="Times New Roman" w:hAnsi="Times New Roman" w:cs="Times New Roman"/>
          <w:i/>
          <w:sz w:val="24"/>
          <w:szCs w:val="24"/>
        </w:rPr>
        <w:t xml:space="preserve"> Ltd</w:t>
      </w:r>
      <w:r w:rsidR="00C37C1A" w:rsidRPr="006B2410">
        <w:rPr>
          <w:rFonts w:ascii="Times New Roman" w:hAnsi="Times New Roman" w:cs="Times New Roman"/>
          <w:sz w:val="24"/>
          <w:szCs w:val="24"/>
        </w:rPr>
        <w:t xml:space="preserve"> case, </w:t>
      </w:r>
      <w:r w:rsidR="00C37C1A" w:rsidRPr="006B2410">
        <w:rPr>
          <w:rFonts w:ascii="Times New Roman" w:hAnsi="Times New Roman" w:cs="Times New Roman"/>
          <w:i/>
          <w:sz w:val="24"/>
          <w:szCs w:val="24"/>
        </w:rPr>
        <w:t>supra,</w:t>
      </w:r>
      <w:r w:rsidR="00C37C1A" w:rsidRPr="006B2410">
        <w:rPr>
          <w:rFonts w:ascii="Times New Roman" w:hAnsi="Times New Roman" w:cs="Times New Roman"/>
          <w:sz w:val="24"/>
          <w:szCs w:val="24"/>
        </w:rPr>
        <w:t xml:space="preserve"> in favour of the one posited by the respondent. </w:t>
      </w:r>
      <w:r w:rsidR="004E3289" w:rsidRPr="006B2410">
        <w:rPr>
          <w:rFonts w:ascii="Times New Roman" w:hAnsi="Times New Roman" w:cs="Times New Roman"/>
          <w:sz w:val="24"/>
          <w:szCs w:val="24"/>
        </w:rPr>
        <w:t xml:space="preserve"> </w:t>
      </w:r>
      <w:r w:rsidR="00C37C1A" w:rsidRPr="006B2410">
        <w:rPr>
          <w:rFonts w:ascii="Times New Roman" w:hAnsi="Times New Roman" w:cs="Times New Roman"/>
          <w:sz w:val="24"/>
          <w:szCs w:val="24"/>
        </w:rPr>
        <w:t xml:space="preserve">HEFER JA, who wrote the judgment for the Appellate Division held that “gross income accrues to </w:t>
      </w:r>
      <w:r w:rsidR="00DC7708" w:rsidRPr="006B2410">
        <w:rPr>
          <w:rFonts w:ascii="Times New Roman" w:hAnsi="Times New Roman" w:cs="Times New Roman"/>
          <w:sz w:val="24"/>
          <w:szCs w:val="24"/>
        </w:rPr>
        <w:t>the</w:t>
      </w:r>
      <w:r w:rsidR="00C37C1A" w:rsidRPr="006B2410">
        <w:rPr>
          <w:rFonts w:ascii="Times New Roman" w:hAnsi="Times New Roman" w:cs="Times New Roman"/>
          <w:sz w:val="24"/>
          <w:szCs w:val="24"/>
        </w:rPr>
        <w:t xml:space="preserve"> taxpayer in the year of assessment in which he becomes entitled to an amount, irrespective the fact that the amount may only be due and payable in a later year of assessment.”</w:t>
      </w:r>
      <w:r w:rsidR="00C37C1A" w:rsidRPr="006B2410">
        <w:rPr>
          <w:rStyle w:val="FootnoteReference"/>
          <w:rFonts w:ascii="Times New Roman" w:hAnsi="Times New Roman" w:cs="Times New Roman"/>
          <w:sz w:val="24"/>
          <w:szCs w:val="24"/>
        </w:rPr>
        <w:footnoteReference w:id="13"/>
      </w:r>
      <w:r w:rsidR="00C37C1A" w:rsidRPr="006B2410">
        <w:rPr>
          <w:rFonts w:ascii="Times New Roman" w:hAnsi="Times New Roman" w:cs="Times New Roman"/>
          <w:sz w:val="24"/>
          <w:szCs w:val="24"/>
        </w:rPr>
        <w:t xml:space="preserve"> </w:t>
      </w:r>
      <w:r w:rsidR="002E0B44" w:rsidRPr="006B2410">
        <w:rPr>
          <w:rFonts w:ascii="Times New Roman" w:hAnsi="Times New Roman" w:cs="Times New Roman"/>
          <w:sz w:val="24"/>
          <w:szCs w:val="24"/>
        </w:rPr>
        <w:t>The cons</w:t>
      </w:r>
      <w:r w:rsidR="00C27513" w:rsidRPr="006B2410">
        <w:rPr>
          <w:rFonts w:ascii="Times New Roman" w:hAnsi="Times New Roman" w:cs="Times New Roman"/>
          <w:sz w:val="24"/>
          <w:szCs w:val="24"/>
        </w:rPr>
        <w:t xml:space="preserve">truction rendered in the </w:t>
      </w:r>
      <w:r w:rsidR="00C27513" w:rsidRPr="006B2410">
        <w:rPr>
          <w:rFonts w:ascii="Times New Roman" w:hAnsi="Times New Roman" w:cs="Times New Roman"/>
          <w:i/>
          <w:sz w:val="24"/>
          <w:szCs w:val="24"/>
        </w:rPr>
        <w:t>Walvis Bay</w:t>
      </w:r>
      <w:r w:rsidR="00C27513" w:rsidRPr="006B2410">
        <w:rPr>
          <w:rFonts w:ascii="Times New Roman" w:hAnsi="Times New Roman" w:cs="Times New Roman"/>
          <w:sz w:val="24"/>
          <w:szCs w:val="24"/>
        </w:rPr>
        <w:t xml:space="preserve"> case was approved by SANDURA JA in </w:t>
      </w:r>
      <w:r w:rsidR="00C27513" w:rsidRPr="006B2410">
        <w:rPr>
          <w:rFonts w:ascii="Times New Roman" w:hAnsi="Times New Roman" w:cs="Times New Roman"/>
          <w:i/>
          <w:sz w:val="24"/>
          <w:szCs w:val="24"/>
        </w:rPr>
        <w:t xml:space="preserve">Standard Chartered Bank (Zimbabwe) Ltd v Zimra </w:t>
      </w:r>
      <w:r w:rsidR="00C27513" w:rsidRPr="006B2410">
        <w:rPr>
          <w:rFonts w:ascii="Times New Roman" w:hAnsi="Times New Roman" w:cs="Times New Roman"/>
          <w:sz w:val="24"/>
          <w:szCs w:val="24"/>
        </w:rPr>
        <w:t xml:space="preserve">2009 (2) ZLR 251 (S) at 257B. </w:t>
      </w:r>
      <w:r w:rsidR="00970BB7" w:rsidRPr="006B2410">
        <w:rPr>
          <w:rFonts w:ascii="Times New Roman" w:hAnsi="Times New Roman" w:cs="Times New Roman"/>
          <w:sz w:val="24"/>
          <w:szCs w:val="24"/>
        </w:rPr>
        <w:t xml:space="preserve">These cases made distinction between “accrued to” and “incurred”.  The former bears a wider meaning than the latter. </w:t>
      </w:r>
      <w:r w:rsidR="0087347A" w:rsidRPr="006B2410">
        <w:rPr>
          <w:rFonts w:ascii="Times New Roman" w:hAnsi="Times New Roman" w:cs="Times New Roman"/>
          <w:sz w:val="24"/>
          <w:szCs w:val="24"/>
        </w:rPr>
        <w:t>I</w:t>
      </w:r>
      <w:r w:rsidR="00381999" w:rsidRPr="006B2410">
        <w:rPr>
          <w:rFonts w:ascii="Times New Roman" w:hAnsi="Times New Roman" w:cs="Times New Roman"/>
          <w:sz w:val="24"/>
          <w:szCs w:val="24"/>
        </w:rPr>
        <w:t>n terms of sub-clause 14.7, as amended by the</w:t>
      </w:r>
      <w:r w:rsidR="0087347A" w:rsidRPr="006B2410">
        <w:rPr>
          <w:rFonts w:ascii="Times New Roman" w:hAnsi="Times New Roman" w:cs="Times New Roman"/>
          <w:sz w:val="24"/>
          <w:szCs w:val="24"/>
        </w:rPr>
        <w:t xml:space="preserve"> “Particular Conditions”</w:t>
      </w:r>
      <w:r w:rsidR="00381999" w:rsidRPr="006B2410">
        <w:rPr>
          <w:rFonts w:ascii="Times New Roman" w:hAnsi="Times New Roman" w:cs="Times New Roman"/>
          <w:sz w:val="24"/>
          <w:szCs w:val="24"/>
        </w:rPr>
        <w:t>, of</w:t>
      </w:r>
      <w:r w:rsidR="0087347A" w:rsidRPr="006B2410">
        <w:rPr>
          <w:rFonts w:ascii="Times New Roman" w:hAnsi="Times New Roman" w:cs="Times New Roman"/>
          <w:sz w:val="24"/>
          <w:szCs w:val="24"/>
        </w:rPr>
        <w:t xml:space="preserve"> the Contract Agreement, </w:t>
      </w:r>
      <w:r w:rsidR="00381999" w:rsidRPr="006B2410">
        <w:rPr>
          <w:rFonts w:ascii="Times New Roman" w:hAnsi="Times New Roman" w:cs="Times New Roman"/>
          <w:sz w:val="24"/>
          <w:szCs w:val="24"/>
        </w:rPr>
        <w:t xml:space="preserve">the timing of the Scheduled Payments was, in context, based on the work done in each sector. In raising invoice 40 on 25 June 2012, the appellant was broadcasting to the whole world that it had executed the sectorial work to which the invoice related and was entitled to payment as of that date. Its entitlement to payment for the work done was irrespective of the certification or the 28 days upon which the actual payment   depended. </w:t>
      </w:r>
      <w:r w:rsidR="00437C0B" w:rsidRPr="006B2410">
        <w:rPr>
          <w:rFonts w:ascii="Times New Roman" w:hAnsi="Times New Roman" w:cs="Times New Roman"/>
          <w:sz w:val="24"/>
          <w:szCs w:val="24"/>
        </w:rPr>
        <w:t xml:space="preserve">I am satisfied that the amount in invoice 40 accrued to the appellant in the 2011 tax year and was incurred by the Employer in the appellant’s 2012 tax year. In the premise, the respondent correctly added it back to income in the 2011 tax year. </w:t>
      </w:r>
    </w:p>
    <w:p w:rsidR="00810332" w:rsidRPr="006B2410" w:rsidRDefault="00936372"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appellant also objected to the inclusion of US$2m, which related to certificate number 2 invoice </w:t>
      </w:r>
      <w:r w:rsidR="00266D23" w:rsidRPr="006B2410">
        <w:rPr>
          <w:rFonts w:ascii="Times New Roman" w:hAnsi="Times New Roman" w:cs="Times New Roman"/>
          <w:sz w:val="24"/>
          <w:szCs w:val="24"/>
        </w:rPr>
        <w:t>8 and</w:t>
      </w:r>
      <w:r w:rsidRPr="006B2410">
        <w:rPr>
          <w:rFonts w:ascii="Times New Roman" w:hAnsi="Times New Roman" w:cs="Times New Roman"/>
          <w:sz w:val="24"/>
          <w:szCs w:val="24"/>
        </w:rPr>
        <w:t xml:space="preserve"> certificate number 3 invoice 9, into its 2011 taxable income </w:t>
      </w:r>
      <w:r w:rsidR="00A50A79" w:rsidRPr="006B2410">
        <w:rPr>
          <w:rFonts w:ascii="Times New Roman" w:hAnsi="Times New Roman" w:cs="Times New Roman"/>
          <w:sz w:val="24"/>
          <w:szCs w:val="24"/>
        </w:rPr>
        <w:t xml:space="preserve">over which </w:t>
      </w:r>
      <w:r w:rsidRPr="006B2410">
        <w:rPr>
          <w:rFonts w:ascii="Times New Roman" w:hAnsi="Times New Roman" w:cs="Times New Roman"/>
          <w:sz w:val="24"/>
          <w:szCs w:val="24"/>
        </w:rPr>
        <w:t>a credit not</w:t>
      </w:r>
      <w:r w:rsidR="00A50A79" w:rsidRPr="006B2410">
        <w:rPr>
          <w:rFonts w:ascii="Times New Roman" w:hAnsi="Times New Roman" w:cs="Times New Roman"/>
          <w:sz w:val="24"/>
          <w:szCs w:val="24"/>
        </w:rPr>
        <w:t>e in that amount was</w:t>
      </w:r>
      <w:r w:rsidRPr="006B2410">
        <w:rPr>
          <w:rFonts w:ascii="Times New Roman" w:hAnsi="Times New Roman" w:cs="Times New Roman"/>
          <w:sz w:val="24"/>
          <w:szCs w:val="24"/>
        </w:rPr>
        <w:t xml:space="preserve"> </w:t>
      </w:r>
      <w:r w:rsidR="00FB7026" w:rsidRPr="006B2410">
        <w:rPr>
          <w:rFonts w:ascii="Times New Roman" w:hAnsi="Times New Roman" w:cs="Times New Roman"/>
          <w:sz w:val="24"/>
          <w:szCs w:val="24"/>
        </w:rPr>
        <w:t xml:space="preserve">passed </w:t>
      </w:r>
      <w:r w:rsidRPr="006B2410">
        <w:rPr>
          <w:rFonts w:ascii="Times New Roman" w:hAnsi="Times New Roman" w:cs="Times New Roman"/>
          <w:sz w:val="24"/>
          <w:szCs w:val="24"/>
        </w:rPr>
        <w:t>on 16 November 2010. While the issue was disallowed in the determination</w:t>
      </w:r>
      <w:r w:rsidR="00266D23" w:rsidRPr="006B2410">
        <w:rPr>
          <w:rFonts w:ascii="Times New Roman" w:hAnsi="Times New Roman" w:cs="Times New Roman"/>
          <w:sz w:val="24"/>
          <w:szCs w:val="24"/>
        </w:rPr>
        <w:t>, the</w:t>
      </w:r>
      <w:r w:rsidRPr="006B2410">
        <w:rPr>
          <w:rFonts w:ascii="Times New Roman" w:hAnsi="Times New Roman" w:cs="Times New Roman"/>
          <w:sz w:val="24"/>
          <w:szCs w:val="24"/>
        </w:rPr>
        <w:t xml:space="preserve"> appellant conceded in para 88 of the Commissioner’s case that the amount should </w:t>
      </w:r>
      <w:r w:rsidR="00266D23" w:rsidRPr="006B2410">
        <w:rPr>
          <w:rFonts w:ascii="Times New Roman" w:hAnsi="Times New Roman" w:cs="Times New Roman"/>
          <w:sz w:val="24"/>
          <w:szCs w:val="24"/>
        </w:rPr>
        <w:t>have been remitted in full</w:t>
      </w:r>
      <w:r w:rsidR="003E4577" w:rsidRPr="006B2410">
        <w:rPr>
          <w:rFonts w:ascii="Times New Roman" w:hAnsi="Times New Roman" w:cs="Times New Roman"/>
          <w:sz w:val="24"/>
          <w:szCs w:val="24"/>
        </w:rPr>
        <w:t xml:space="preserve">; a position adopted by Mr </w:t>
      </w:r>
      <w:r w:rsidR="003E4577" w:rsidRPr="006B2410">
        <w:rPr>
          <w:rFonts w:ascii="Times New Roman" w:hAnsi="Times New Roman" w:cs="Times New Roman"/>
          <w:i/>
          <w:sz w:val="24"/>
          <w:szCs w:val="24"/>
        </w:rPr>
        <w:t>Magwaliba</w:t>
      </w:r>
      <w:r w:rsidR="003E4577" w:rsidRPr="006B2410">
        <w:rPr>
          <w:rFonts w:ascii="Times New Roman" w:hAnsi="Times New Roman" w:cs="Times New Roman"/>
          <w:sz w:val="24"/>
          <w:szCs w:val="24"/>
        </w:rPr>
        <w:t xml:space="preserve"> in para 11.3 of his written heads of argument.</w:t>
      </w:r>
      <w:r w:rsidR="00266D23" w:rsidRPr="006B2410">
        <w:rPr>
          <w:rFonts w:ascii="Times New Roman" w:hAnsi="Times New Roman" w:cs="Times New Roman"/>
          <w:sz w:val="24"/>
          <w:szCs w:val="24"/>
        </w:rPr>
        <w:t xml:space="preserve"> I will</w:t>
      </w:r>
      <w:r w:rsidR="003E4577" w:rsidRPr="006B2410">
        <w:rPr>
          <w:rFonts w:ascii="Times New Roman" w:hAnsi="Times New Roman" w:cs="Times New Roman"/>
          <w:sz w:val="24"/>
          <w:szCs w:val="24"/>
        </w:rPr>
        <w:t>, therefore,</w:t>
      </w:r>
      <w:r w:rsidR="00266D23" w:rsidRPr="006B2410">
        <w:rPr>
          <w:rFonts w:ascii="Times New Roman" w:hAnsi="Times New Roman" w:cs="Times New Roman"/>
          <w:sz w:val="24"/>
          <w:szCs w:val="24"/>
        </w:rPr>
        <w:t xml:space="preserve"> direct the Commissi</w:t>
      </w:r>
      <w:r w:rsidR="00D95D0F" w:rsidRPr="006B2410">
        <w:rPr>
          <w:rFonts w:ascii="Times New Roman" w:hAnsi="Times New Roman" w:cs="Times New Roman"/>
          <w:sz w:val="24"/>
          <w:szCs w:val="24"/>
        </w:rPr>
        <w:t>oner to deduct the sum of US$ 2m</w:t>
      </w:r>
      <w:r w:rsidR="00266D23" w:rsidRPr="006B2410">
        <w:rPr>
          <w:rFonts w:ascii="Times New Roman" w:hAnsi="Times New Roman" w:cs="Times New Roman"/>
          <w:sz w:val="24"/>
          <w:szCs w:val="24"/>
        </w:rPr>
        <w:t xml:space="preserve"> from the appellant’s 2011 taxable income. </w:t>
      </w:r>
    </w:p>
    <w:p w:rsidR="00810332" w:rsidRPr="006B2410" w:rsidRDefault="00810332" w:rsidP="00810332">
      <w:pPr>
        <w:jc w:val="both"/>
        <w:rPr>
          <w:rFonts w:ascii="Times New Roman" w:hAnsi="Times New Roman" w:cs="Times New Roman"/>
          <w:i/>
          <w:sz w:val="24"/>
          <w:szCs w:val="24"/>
        </w:rPr>
      </w:pPr>
      <w:r w:rsidRPr="006B2410">
        <w:rPr>
          <w:rFonts w:ascii="Times New Roman" w:hAnsi="Times New Roman" w:cs="Times New Roman"/>
          <w:i/>
          <w:sz w:val="24"/>
          <w:szCs w:val="24"/>
        </w:rPr>
        <w:t>Wh</w:t>
      </w:r>
      <w:r w:rsidR="008D510A" w:rsidRPr="006B2410">
        <w:rPr>
          <w:rFonts w:ascii="Times New Roman" w:hAnsi="Times New Roman" w:cs="Times New Roman"/>
          <w:i/>
          <w:sz w:val="24"/>
          <w:szCs w:val="24"/>
        </w:rPr>
        <w:t>ether the appellant realised foreign</w:t>
      </w:r>
      <w:r w:rsidRPr="006B2410">
        <w:rPr>
          <w:rFonts w:ascii="Times New Roman" w:hAnsi="Times New Roman" w:cs="Times New Roman"/>
          <w:i/>
          <w:sz w:val="24"/>
          <w:szCs w:val="24"/>
        </w:rPr>
        <w:t xml:space="preserve"> exchange gain</w:t>
      </w:r>
      <w:r w:rsidR="008D510A" w:rsidRPr="006B2410">
        <w:rPr>
          <w:rFonts w:ascii="Times New Roman" w:hAnsi="Times New Roman" w:cs="Times New Roman"/>
          <w:i/>
          <w:sz w:val="24"/>
          <w:szCs w:val="24"/>
        </w:rPr>
        <w:t>s</w:t>
      </w:r>
      <w:r w:rsidRPr="006B2410">
        <w:rPr>
          <w:rFonts w:ascii="Times New Roman" w:hAnsi="Times New Roman" w:cs="Times New Roman"/>
          <w:i/>
          <w:sz w:val="24"/>
          <w:szCs w:val="24"/>
        </w:rPr>
        <w:t xml:space="preserve"> of US$638 370 in the tax year 2011</w:t>
      </w:r>
      <w:r w:rsidR="000E0ABE" w:rsidRPr="006B2410">
        <w:rPr>
          <w:rFonts w:ascii="Times New Roman" w:hAnsi="Times New Roman" w:cs="Times New Roman"/>
          <w:i/>
          <w:sz w:val="24"/>
          <w:szCs w:val="24"/>
        </w:rPr>
        <w:t xml:space="preserve"> and US$ 104 285 in the 2014 tax year</w:t>
      </w:r>
    </w:p>
    <w:p w:rsidR="006B0509" w:rsidRPr="006B2410" w:rsidRDefault="0027425D"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lastRenderedPageBreak/>
        <w:t xml:space="preserve">The appellant claimed realised </w:t>
      </w:r>
      <w:r w:rsidR="008D510A" w:rsidRPr="006B2410">
        <w:rPr>
          <w:rFonts w:ascii="Times New Roman" w:hAnsi="Times New Roman" w:cs="Times New Roman"/>
          <w:sz w:val="24"/>
          <w:szCs w:val="24"/>
        </w:rPr>
        <w:t>foreign exchange</w:t>
      </w:r>
      <w:r w:rsidR="00F14547" w:rsidRPr="006B2410">
        <w:rPr>
          <w:rFonts w:ascii="Times New Roman" w:hAnsi="Times New Roman" w:cs="Times New Roman"/>
          <w:sz w:val="24"/>
          <w:szCs w:val="24"/>
        </w:rPr>
        <w:t xml:space="preserve"> </w:t>
      </w:r>
      <w:r w:rsidRPr="006B2410">
        <w:rPr>
          <w:rFonts w:ascii="Times New Roman" w:hAnsi="Times New Roman" w:cs="Times New Roman"/>
          <w:sz w:val="24"/>
          <w:szCs w:val="24"/>
        </w:rPr>
        <w:t>losses</w:t>
      </w:r>
      <w:r w:rsidR="00F14547" w:rsidRPr="006B2410">
        <w:rPr>
          <w:rFonts w:ascii="Times New Roman" w:hAnsi="Times New Roman" w:cs="Times New Roman"/>
          <w:sz w:val="24"/>
          <w:szCs w:val="24"/>
        </w:rPr>
        <w:t xml:space="preserve"> of US$ 403 </w:t>
      </w:r>
      <w:r w:rsidR="004C33D2">
        <w:rPr>
          <w:rFonts w:ascii="Times New Roman" w:hAnsi="Times New Roman" w:cs="Times New Roman"/>
          <w:sz w:val="24"/>
          <w:szCs w:val="24"/>
        </w:rPr>
        <w:t>551 and unrealised foreign exchange</w:t>
      </w:r>
      <w:r w:rsidR="00F14547" w:rsidRPr="006B2410">
        <w:rPr>
          <w:rFonts w:ascii="Times New Roman" w:hAnsi="Times New Roman" w:cs="Times New Roman"/>
          <w:sz w:val="24"/>
          <w:szCs w:val="24"/>
        </w:rPr>
        <w:t xml:space="preserve"> gains of US$ 638 370 in the 2011 tax year. The respondent allowed the losses but added back to the appellant’</w:t>
      </w:r>
      <w:r w:rsidR="00B3485D" w:rsidRPr="006B2410">
        <w:rPr>
          <w:rFonts w:ascii="Times New Roman" w:hAnsi="Times New Roman" w:cs="Times New Roman"/>
          <w:sz w:val="24"/>
          <w:szCs w:val="24"/>
        </w:rPr>
        <w:t xml:space="preserve">s gross income the </w:t>
      </w:r>
      <w:r w:rsidR="004C33D2">
        <w:rPr>
          <w:rFonts w:ascii="Times New Roman" w:hAnsi="Times New Roman" w:cs="Times New Roman"/>
          <w:sz w:val="24"/>
          <w:szCs w:val="24"/>
        </w:rPr>
        <w:t xml:space="preserve">net </w:t>
      </w:r>
      <w:r w:rsidR="00B3485D" w:rsidRPr="006B2410">
        <w:rPr>
          <w:rFonts w:ascii="Times New Roman" w:hAnsi="Times New Roman" w:cs="Times New Roman"/>
          <w:sz w:val="24"/>
          <w:szCs w:val="24"/>
        </w:rPr>
        <w:t>foreign exchange</w:t>
      </w:r>
      <w:r w:rsidR="00F14547" w:rsidRPr="006B2410">
        <w:rPr>
          <w:rFonts w:ascii="Times New Roman" w:hAnsi="Times New Roman" w:cs="Times New Roman"/>
          <w:sz w:val="24"/>
          <w:szCs w:val="24"/>
        </w:rPr>
        <w:t xml:space="preserve"> gains in the sum of US$234 </w:t>
      </w:r>
      <w:r w:rsidR="00F9725D" w:rsidRPr="006B2410">
        <w:rPr>
          <w:rFonts w:ascii="Times New Roman" w:hAnsi="Times New Roman" w:cs="Times New Roman"/>
          <w:sz w:val="24"/>
          <w:szCs w:val="24"/>
        </w:rPr>
        <w:t>818.86</w:t>
      </w:r>
      <w:r w:rsidR="00B3485D" w:rsidRPr="006B2410">
        <w:rPr>
          <w:rFonts w:ascii="Times New Roman" w:hAnsi="Times New Roman" w:cs="Times New Roman"/>
          <w:sz w:val="24"/>
          <w:szCs w:val="24"/>
        </w:rPr>
        <w:t xml:space="preserve">, which were purported to have been unrealised by the appellant. </w:t>
      </w:r>
      <w:r w:rsidR="00F14547" w:rsidRPr="006B2410">
        <w:rPr>
          <w:rFonts w:ascii="Times New Roman" w:hAnsi="Times New Roman" w:cs="Times New Roman"/>
          <w:sz w:val="24"/>
          <w:szCs w:val="24"/>
        </w:rPr>
        <w:t>The respondent also added back US$$29 740 purported</w:t>
      </w:r>
      <w:r w:rsidR="00F9725D" w:rsidRPr="006B2410">
        <w:rPr>
          <w:rFonts w:ascii="Times New Roman" w:hAnsi="Times New Roman" w:cs="Times New Roman"/>
          <w:sz w:val="24"/>
          <w:szCs w:val="24"/>
        </w:rPr>
        <w:t>ly</w:t>
      </w:r>
      <w:r w:rsidR="00F14547" w:rsidRPr="006B2410">
        <w:rPr>
          <w:rFonts w:ascii="Times New Roman" w:hAnsi="Times New Roman" w:cs="Times New Roman"/>
          <w:sz w:val="24"/>
          <w:szCs w:val="24"/>
        </w:rPr>
        <w:t xml:space="preserve"> unrealised </w:t>
      </w:r>
      <w:r w:rsidR="00B3485D" w:rsidRPr="006B2410">
        <w:rPr>
          <w:rFonts w:ascii="Times New Roman" w:hAnsi="Times New Roman" w:cs="Times New Roman"/>
          <w:sz w:val="24"/>
          <w:szCs w:val="24"/>
        </w:rPr>
        <w:t xml:space="preserve">foreign </w:t>
      </w:r>
      <w:r w:rsidR="00F14547" w:rsidRPr="006B2410">
        <w:rPr>
          <w:rFonts w:ascii="Times New Roman" w:hAnsi="Times New Roman" w:cs="Times New Roman"/>
          <w:sz w:val="24"/>
          <w:szCs w:val="24"/>
        </w:rPr>
        <w:t>e</w:t>
      </w:r>
      <w:r w:rsidR="00B3485D" w:rsidRPr="006B2410">
        <w:rPr>
          <w:rFonts w:ascii="Times New Roman" w:hAnsi="Times New Roman" w:cs="Times New Roman"/>
          <w:sz w:val="24"/>
          <w:szCs w:val="24"/>
        </w:rPr>
        <w:t>xchange</w:t>
      </w:r>
      <w:r w:rsidR="00F14547" w:rsidRPr="006B2410">
        <w:rPr>
          <w:rFonts w:ascii="Times New Roman" w:hAnsi="Times New Roman" w:cs="Times New Roman"/>
          <w:sz w:val="24"/>
          <w:szCs w:val="24"/>
        </w:rPr>
        <w:t xml:space="preserve"> gains to the 2013 tax year. </w:t>
      </w:r>
      <w:r w:rsidR="00446571" w:rsidRPr="006B2410">
        <w:rPr>
          <w:rFonts w:ascii="Times New Roman" w:hAnsi="Times New Roman" w:cs="Times New Roman"/>
          <w:sz w:val="24"/>
          <w:szCs w:val="24"/>
        </w:rPr>
        <w:t xml:space="preserve">The respondent relied on the ledger of </w:t>
      </w:r>
      <w:r w:rsidR="004C18C8">
        <w:rPr>
          <w:rFonts w:ascii="Times New Roman" w:hAnsi="Times New Roman" w:cs="Times New Roman"/>
          <w:sz w:val="24"/>
          <w:szCs w:val="24"/>
        </w:rPr>
        <w:t>foreign exchange</w:t>
      </w:r>
      <w:r w:rsidR="00446571" w:rsidRPr="006B2410">
        <w:rPr>
          <w:rFonts w:ascii="Times New Roman" w:hAnsi="Times New Roman" w:cs="Times New Roman"/>
          <w:sz w:val="24"/>
          <w:szCs w:val="24"/>
        </w:rPr>
        <w:t xml:space="preserve"> gains and losses running from 24 February 2011 </w:t>
      </w:r>
      <w:r w:rsidR="00B3485D" w:rsidRPr="006B2410">
        <w:rPr>
          <w:rFonts w:ascii="Times New Roman" w:hAnsi="Times New Roman" w:cs="Times New Roman"/>
          <w:sz w:val="24"/>
          <w:szCs w:val="24"/>
        </w:rPr>
        <w:t xml:space="preserve">to 25 June 2012 to add back </w:t>
      </w:r>
      <w:r w:rsidR="00446571" w:rsidRPr="006B2410">
        <w:rPr>
          <w:rFonts w:ascii="Times New Roman" w:hAnsi="Times New Roman" w:cs="Times New Roman"/>
          <w:sz w:val="24"/>
          <w:szCs w:val="24"/>
        </w:rPr>
        <w:t>US$ 234 818.86 to income</w:t>
      </w:r>
      <w:r w:rsidR="00740D5B" w:rsidRPr="006B2410">
        <w:rPr>
          <w:rStyle w:val="FootnoteReference"/>
          <w:rFonts w:ascii="Times New Roman" w:hAnsi="Times New Roman" w:cs="Times New Roman"/>
          <w:sz w:val="24"/>
          <w:szCs w:val="24"/>
        </w:rPr>
        <w:footnoteReference w:id="14"/>
      </w:r>
      <w:r w:rsidR="00446571" w:rsidRPr="006B2410">
        <w:rPr>
          <w:rFonts w:ascii="Times New Roman" w:hAnsi="Times New Roman" w:cs="Times New Roman"/>
          <w:sz w:val="24"/>
          <w:szCs w:val="24"/>
        </w:rPr>
        <w:t xml:space="preserve">. That ledger had a positive balance of US$ 234 818.86.  </w:t>
      </w:r>
      <w:r w:rsidR="00F9725D" w:rsidRPr="006B2410">
        <w:rPr>
          <w:rFonts w:ascii="Times New Roman" w:hAnsi="Times New Roman" w:cs="Times New Roman"/>
          <w:sz w:val="24"/>
          <w:szCs w:val="24"/>
        </w:rPr>
        <w:t xml:space="preserve">The appellant objected to the refusal to deduct the full amount of the unrealised </w:t>
      </w:r>
      <w:r w:rsidR="0045563A">
        <w:rPr>
          <w:rFonts w:ascii="Times New Roman" w:hAnsi="Times New Roman" w:cs="Times New Roman"/>
          <w:sz w:val="24"/>
          <w:szCs w:val="24"/>
        </w:rPr>
        <w:t>foreign exchange</w:t>
      </w:r>
      <w:r w:rsidR="00F9725D" w:rsidRPr="006B2410">
        <w:rPr>
          <w:rFonts w:ascii="Times New Roman" w:hAnsi="Times New Roman" w:cs="Times New Roman"/>
          <w:sz w:val="24"/>
          <w:szCs w:val="24"/>
        </w:rPr>
        <w:t xml:space="preserve"> gains. On disallowance of the objection it appealed to this Court for the deduction of the full amount. </w:t>
      </w:r>
      <w:r w:rsidR="00446571" w:rsidRPr="006B2410">
        <w:rPr>
          <w:rFonts w:ascii="Times New Roman" w:hAnsi="Times New Roman" w:cs="Times New Roman"/>
          <w:sz w:val="24"/>
          <w:szCs w:val="24"/>
        </w:rPr>
        <w:t>While the respondent seemed to suggest in some of its correspondence and findings in the two determination</w:t>
      </w:r>
      <w:r w:rsidR="00B3485D" w:rsidRPr="006B2410">
        <w:rPr>
          <w:rFonts w:ascii="Times New Roman" w:hAnsi="Times New Roman" w:cs="Times New Roman"/>
          <w:sz w:val="24"/>
          <w:szCs w:val="24"/>
        </w:rPr>
        <w:t>s</w:t>
      </w:r>
      <w:r w:rsidR="00A4409B" w:rsidRPr="006B2410">
        <w:rPr>
          <w:rStyle w:val="FootnoteReference"/>
          <w:rFonts w:ascii="Times New Roman" w:hAnsi="Times New Roman" w:cs="Times New Roman"/>
          <w:sz w:val="24"/>
          <w:szCs w:val="24"/>
        </w:rPr>
        <w:footnoteReference w:id="15"/>
      </w:r>
      <w:r w:rsidR="00446571" w:rsidRPr="006B2410">
        <w:rPr>
          <w:rFonts w:ascii="Times New Roman" w:hAnsi="Times New Roman" w:cs="Times New Roman"/>
          <w:sz w:val="24"/>
          <w:szCs w:val="24"/>
        </w:rPr>
        <w:t xml:space="preserve"> </w:t>
      </w:r>
      <w:r w:rsidR="00740D5B" w:rsidRPr="006B2410">
        <w:rPr>
          <w:rFonts w:ascii="Times New Roman" w:hAnsi="Times New Roman" w:cs="Times New Roman"/>
          <w:sz w:val="24"/>
          <w:szCs w:val="24"/>
        </w:rPr>
        <w:t xml:space="preserve">that it equated the </w:t>
      </w:r>
      <w:r w:rsidR="00446571" w:rsidRPr="006B2410">
        <w:rPr>
          <w:rFonts w:ascii="Times New Roman" w:hAnsi="Times New Roman" w:cs="Times New Roman"/>
          <w:sz w:val="24"/>
          <w:szCs w:val="24"/>
        </w:rPr>
        <w:t>appellant’s financial year conversions of the amounts held in Rands to United States dollars</w:t>
      </w:r>
      <w:r w:rsidR="00740D5B" w:rsidRPr="006B2410">
        <w:rPr>
          <w:rFonts w:ascii="Times New Roman" w:hAnsi="Times New Roman" w:cs="Times New Roman"/>
          <w:sz w:val="24"/>
          <w:szCs w:val="24"/>
        </w:rPr>
        <w:t xml:space="preserve"> with realisation, it maintained that the ledger </w:t>
      </w:r>
      <w:r w:rsidR="00A4409B" w:rsidRPr="006B2410">
        <w:rPr>
          <w:rFonts w:ascii="Times New Roman" w:hAnsi="Times New Roman" w:cs="Times New Roman"/>
          <w:sz w:val="24"/>
          <w:szCs w:val="24"/>
        </w:rPr>
        <w:t xml:space="preserve">showed that the appellant had made a net gain of US$234 818.86 on the 2011 </w:t>
      </w:r>
      <w:r w:rsidR="00B3485D" w:rsidRPr="006B2410">
        <w:rPr>
          <w:rFonts w:ascii="Times New Roman" w:hAnsi="Times New Roman" w:cs="Times New Roman"/>
          <w:sz w:val="24"/>
          <w:szCs w:val="24"/>
        </w:rPr>
        <w:t>foreign exchange gains and losses</w:t>
      </w:r>
      <w:r w:rsidR="00A4409B" w:rsidRPr="006B2410">
        <w:rPr>
          <w:rFonts w:ascii="Times New Roman" w:hAnsi="Times New Roman" w:cs="Times New Roman"/>
          <w:sz w:val="24"/>
          <w:szCs w:val="24"/>
        </w:rPr>
        <w:t xml:space="preserve"> account</w:t>
      </w:r>
      <w:r w:rsidR="003C1928" w:rsidRPr="006B2410">
        <w:rPr>
          <w:rFonts w:ascii="Times New Roman" w:hAnsi="Times New Roman" w:cs="Times New Roman"/>
          <w:sz w:val="24"/>
          <w:szCs w:val="24"/>
        </w:rPr>
        <w:t>.</w:t>
      </w:r>
      <w:r w:rsidR="00806A57" w:rsidRPr="006B2410">
        <w:rPr>
          <w:rStyle w:val="FootnoteReference"/>
          <w:rFonts w:ascii="Times New Roman" w:hAnsi="Times New Roman" w:cs="Times New Roman"/>
          <w:sz w:val="24"/>
          <w:szCs w:val="24"/>
        </w:rPr>
        <w:footnoteReference w:id="16"/>
      </w:r>
      <w:r w:rsidR="00F97CED" w:rsidRPr="006B2410">
        <w:rPr>
          <w:rFonts w:ascii="Times New Roman" w:hAnsi="Times New Roman" w:cs="Times New Roman"/>
          <w:sz w:val="24"/>
          <w:szCs w:val="24"/>
        </w:rPr>
        <w:t xml:space="preserve"> </w:t>
      </w:r>
      <w:r w:rsidR="000E0ABE" w:rsidRPr="006B2410">
        <w:rPr>
          <w:rFonts w:ascii="Times New Roman" w:hAnsi="Times New Roman" w:cs="Times New Roman"/>
          <w:sz w:val="24"/>
          <w:szCs w:val="24"/>
        </w:rPr>
        <w:t xml:space="preserve">The respondent also treated the </w:t>
      </w:r>
      <w:r w:rsidR="00DB4C10" w:rsidRPr="006B2410">
        <w:rPr>
          <w:rFonts w:ascii="Times New Roman" w:hAnsi="Times New Roman" w:cs="Times New Roman"/>
          <w:sz w:val="24"/>
          <w:szCs w:val="24"/>
        </w:rPr>
        <w:t>“</w:t>
      </w:r>
      <w:r w:rsidR="00AB37D5" w:rsidRPr="006B2410">
        <w:rPr>
          <w:rFonts w:ascii="Times New Roman" w:hAnsi="Times New Roman" w:cs="Times New Roman"/>
          <w:sz w:val="24"/>
          <w:szCs w:val="24"/>
        </w:rPr>
        <w:t>unrealised</w:t>
      </w:r>
      <w:r w:rsidR="000E0ABE" w:rsidRPr="006B2410">
        <w:rPr>
          <w:rFonts w:ascii="Times New Roman" w:hAnsi="Times New Roman" w:cs="Times New Roman"/>
          <w:sz w:val="24"/>
          <w:szCs w:val="24"/>
        </w:rPr>
        <w:t xml:space="preserve"> gains</w:t>
      </w:r>
      <w:r w:rsidR="00DB4C10" w:rsidRPr="006B2410">
        <w:rPr>
          <w:rFonts w:ascii="Times New Roman" w:hAnsi="Times New Roman" w:cs="Times New Roman"/>
          <w:sz w:val="24"/>
          <w:szCs w:val="24"/>
        </w:rPr>
        <w:t>”</w:t>
      </w:r>
      <w:r w:rsidR="000E0ABE" w:rsidRPr="006B2410">
        <w:rPr>
          <w:rFonts w:ascii="Times New Roman" w:hAnsi="Times New Roman" w:cs="Times New Roman"/>
          <w:sz w:val="24"/>
          <w:szCs w:val="24"/>
        </w:rPr>
        <w:t xml:space="preserve"> for the 2014 tax year in the sum of US$ 104 285 in the same way</w:t>
      </w:r>
      <w:r w:rsidR="00AA22EF" w:rsidRPr="006B2410">
        <w:rPr>
          <w:rFonts w:ascii="Times New Roman" w:hAnsi="Times New Roman" w:cs="Times New Roman"/>
          <w:sz w:val="24"/>
          <w:szCs w:val="24"/>
        </w:rPr>
        <w:t>.</w:t>
      </w:r>
      <w:r w:rsidR="003712D3" w:rsidRPr="006B2410">
        <w:rPr>
          <w:rStyle w:val="FootnoteReference"/>
          <w:rFonts w:ascii="Times New Roman" w:hAnsi="Times New Roman" w:cs="Times New Roman"/>
          <w:sz w:val="24"/>
          <w:szCs w:val="24"/>
        </w:rPr>
        <w:footnoteReference w:id="17"/>
      </w:r>
      <w:r w:rsidR="000E0ABE" w:rsidRPr="006B2410">
        <w:rPr>
          <w:rFonts w:ascii="Times New Roman" w:hAnsi="Times New Roman" w:cs="Times New Roman"/>
          <w:sz w:val="24"/>
          <w:szCs w:val="24"/>
        </w:rPr>
        <w:t xml:space="preserve"> </w:t>
      </w:r>
      <w:r w:rsidR="003712D3" w:rsidRPr="006B2410">
        <w:rPr>
          <w:rFonts w:ascii="Times New Roman" w:hAnsi="Times New Roman" w:cs="Times New Roman"/>
          <w:sz w:val="24"/>
          <w:szCs w:val="24"/>
        </w:rPr>
        <w:t xml:space="preserve"> </w:t>
      </w:r>
    </w:p>
    <w:p w:rsidR="00815DC8" w:rsidRPr="006B2410" w:rsidRDefault="003712D3"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The second witness called by the appellant stated that</w:t>
      </w:r>
      <w:r w:rsidR="00AA22EF" w:rsidRPr="006B2410">
        <w:rPr>
          <w:rFonts w:ascii="Times New Roman" w:hAnsi="Times New Roman" w:cs="Times New Roman"/>
          <w:sz w:val="24"/>
          <w:szCs w:val="24"/>
        </w:rPr>
        <w:t xml:space="preserve"> the </w:t>
      </w:r>
      <w:r w:rsidR="00B6682A" w:rsidRPr="006B2410">
        <w:rPr>
          <w:rFonts w:ascii="Times New Roman" w:hAnsi="Times New Roman" w:cs="Times New Roman"/>
          <w:sz w:val="24"/>
          <w:szCs w:val="24"/>
        </w:rPr>
        <w:t>foreign exchange</w:t>
      </w:r>
      <w:r w:rsidR="00AA22EF" w:rsidRPr="006B2410">
        <w:rPr>
          <w:rFonts w:ascii="Times New Roman" w:hAnsi="Times New Roman" w:cs="Times New Roman"/>
          <w:sz w:val="24"/>
          <w:szCs w:val="24"/>
        </w:rPr>
        <w:t xml:space="preserve"> gains were recorded in the appellant’s </w:t>
      </w:r>
      <w:r w:rsidR="004C3FC7" w:rsidRPr="006B2410">
        <w:rPr>
          <w:rFonts w:ascii="Times New Roman" w:hAnsi="Times New Roman" w:cs="Times New Roman"/>
          <w:sz w:val="24"/>
          <w:szCs w:val="24"/>
        </w:rPr>
        <w:t>ledger in question</w:t>
      </w:r>
      <w:r w:rsidR="00AA22EF" w:rsidRPr="006B2410">
        <w:rPr>
          <w:rFonts w:ascii="Times New Roman" w:hAnsi="Times New Roman" w:cs="Times New Roman"/>
          <w:sz w:val="24"/>
          <w:szCs w:val="24"/>
        </w:rPr>
        <w:t xml:space="preserve"> and financial </w:t>
      </w:r>
      <w:r w:rsidR="004C3FC7" w:rsidRPr="006B2410">
        <w:rPr>
          <w:rFonts w:ascii="Times New Roman" w:hAnsi="Times New Roman" w:cs="Times New Roman"/>
          <w:sz w:val="24"/>
          <w:szCs w:val="24"/>
        </w:rPr>
        <w:t>statement</w:t>
      </w:r>
      <w:r w:rsidR="00DB4C10" w:rsidRPr="006B2410">
        <w:rPr>
          <w:rFonts w:ascii="Times New Roman" w:hAnsi="Times New Roman" w:cs="Times New Roman"/>
          <w:sz w:val="24"/>
          <w:szCs w:val="24"/>
        </w:rPr>
        <w:t>s</w:t>
      </w:r>
      <w:r w:rsidR="004C3FC7" w:rsidRPr="006B2410">
        <w:rPr>
          <w:rFonts w:ascii="Times New Roman" w:hAnsi="Times New Roman" w:cs="Times New Roman"/>
          <w:sz w:val="24"/>
          <w:szCs w:val="24"/>
        </w:rPr>
        <w:t xml:space="preserve"> </w:t>
      </w:r>
      <w:r w:rsidR="00AA22EF" w:rsidRPr="006B2410">
        <w:rPr>
          <w:rFonts w:ascii="Times New Roman" w:hAnsi="Times New Roman" w:cs="Times New Roman"/>
          <w:sz w:val="24"/>
          <w:szCs w:val="24"/>
        </w:rPr>
        <w:t xml:space="preserve">in compliance with International Financial Reporting Standards, IFRS, but were not realised for taxes purposes. He explained that they would only be realised </w:t>
      </w:r>
      <w:r w:rsidR="00371E8B" w:rsidRPr="006B2410">
        <w:rPr>
          <w:rFonts w:ascii="Times New Roman" w:hAnsi="Times New Roman" w:cs="Times New Roman"/>
          <w:sz w:val="24"/>
          <w:szCs w:val="24"/>
        </w:rPr>
        <w:t>when the particular obligations had been settled.</w:t>
      </w:r>
      <w:r w:rsidR="00524C7F" w:rsidRPr="006B2410">
        <w:rPr>
          <w:rFonts w:ascii="Times New Roman" w:hAnsi="Times New Roman" w:cs="Times New Roman"/>
          <w:sz w:val="24"/>
          <w:szCs w:val="24"/>
        </w:rPr>
        <w:t xml:space="preserve"> </w:t>
      </w:r>
      <w:r w:rsidR="00371E8B" w:rsidRPr="006B2410">
        <w:rPr>
          <w:rFonts w:ascii="Times New Roman" w:hAnsi="Times New Roman" w:cs="Times New Roman"/>
          <w:sz w:val="24"/>
          <w:szCs w:val="24"/>
        </w:rPr>
        <w:t xml:space="preserve">He conceded under cross examination that the total of US$234 818.86 in the </w:t>
      </w:r>
      <w:r w:rsidR="003C1928" w:rsidRPr="006B2410">
        <w:rPr>
          <w:rFonts w:ascii="Times New Roman" w:hAnsi="Times New Roman" w:cs="Times New Roman"/>
          <w:sz w:val="24"/>
          <w:szCs w:val="24"/>
        </w:rPr>
        <w:t xml:space="preserve">18 month running </w:t>
      </w:r>
      <w:r w:rsidR="00371E8B" w:rsidRPr="006B2410">
        <w:rPr>
          <w:rFonts w:ascii="Times New Roman" w:hAnsi="Times New Roman" w:cs="Times New Roman"/>
          <w:sz w:val="24"/>
          <w:szCs w:val="24"/>
        </w:rPr>
        <w:t>ledger</w:t>
      </w:r>
      <w:r w:rsidR="003C1928" w:rsidRPr="006B2410">
        <w:rPr>
          <w:rFonts w:ascii="Times New Roman" w:hAnsi="Times New Roman" w:cs="Times New Roman"/>
          <w:sz w:val="24"/>
          <w:szCs w:val="24"/>
        </w:rPr>
        <w:t xml:space="preserve"> </w:t>
      </w:r>
      <w:r w:rsidR="00524C7F" w:rsidRPr="006B2410">
        <w:rPr>
          <w:rFonts w:ascii="Times New Roman" w:hAnsi="Times New Roman" w:cs="Times New Roman"/>
          <w:sz w:val="24"/>
          <w:szCs w:val="24"/>
        </w:rPr>
        <w:t xml:space="preserve">represented the net </w:t>
      </w:r>
      <w:r w:rsidR="003C1928" w:rsidRPr="006B2410">
        <w:rPr>
          <w:rFonts w:ascii="Times New Roman" w:hAnsi="Times New Roman" w:cs="Times New Roman"/>
          <w:sz w:val="24"/>
          <w:szCs w:val="24"/>
        </w:rPr>
        <w:t>gains of the realised 2011 exchange rate gains and losses.</w:t>
      </w:r>
      <w:r w:rsidR="004004B4" w:rsidRPr="006B2410">
        <w:rPr>
          <w:rFonts w:ascii="Times New Roman" w:hAnsi="Times New Roman" w:cs="Times New Roman"/>
          <w:sz w:val="24"/>
          <w:szCs w:val="24"/>
        </w:rPr>
        <w:t xml:space="preserve"> In that respect</w:t>
      </w:r>
      <w:r w:rsidR="00B6682A" w:rsidRPr="006B2410">
        <w:rPr>
          <w:rFonts w:ascii="Times New Roman" w:hAnsi="Times New Roman" w:cs="Times New Roman"/>
          <w:sz w:val="24"/>
          <w:szCs w:val="24"/>
        </w:rPr>
        <w:t>,</w:t>
      </w:r>
      <w:r w:rsidR="004004B4" w:rsidRPr="006B2410">
        <w:rPr>
          <w:rFonts w:ascii="Times New Roman" w:hAnsi="Times New Roman" w:cs="Times New Roman"/>
          <w:sz w:val="24"/>
          <w:szCs w:val="24"/>
        </w:rPr>
        <w:t xml:space="preserve"> he confirmed </w:t>
      </w:r>
      <w:r w:rsidR="00797093">
        <w:rPr>
          <w:rFonts w:ascii="Times New Roman" w:hAnsi="Times New Roman" w:cs="Times New Roman"/>
          <w:sz w:val="24"/>
          <w:szCs w:val="24"/>
        </w:rPr>
        <w:t xml:space="preserve">the correctness of </w:t>
      </w:r>
      <w:r w:rsidR="004004B4" w:rsidRPr="006B2410">
        <w:rPr>
          <w:rFonts w:ascii="Times New Roman" w:hAnsi="Times New Roman" w:cs="Times New Roman"/>
          <w:sz w:val="24"/>
          <w:szCs w:val="24"/>
        </w:rPr>
        <w:t>the averments that had always been made by the respondent in the letter accompanying the assessments of 13 November 2015 and in the Commissioner’s case in respect of each appeal.</w:t>
      </w:r>
      <w:r w:rsidR="004004B4" w:rsidRPr="006B2410">
        <w:rPr>
          <w:rStyle w:val="FootnoteReference"/>
          <w:rFonts w:ascii="Times New Roman" w:hAnsi="Times New Roman" w:cs="Times New Roman"/>
          <w:sz w:val="24"/>
          <w:szCs w:val="24"/>
        </w:rPr>
        <w:footnoteReference w:id="18"/>
      </w:r>
      <w:r w:rsidR="006B0509" w:rsidRPr="006B2410">
        <w:rPr>
          <w:rFonts w:ascii="Times New Roman" w:hAnsi="Times New Roman" w:cs="Times New Roman"/>
          <w:sz w:val="24"/>
          <w:szCs w:val="24"/>
        </w:rPr>
        <w:t xml:space="preserve"> His testimony destroyed the appellant’s </w:t>
      </w:r>
      <w:r w:rsidR="00B6682A" w:rsidRPr="006B2410">
        <w:rPr>
          <w:rFonts w:ascii="Times New Roman" w:hAnsi="Times New Roman" w:cs="Times New Roman"/>
          <w:sz w:val="24"/>
          <w:szCs w:val="24"/>
        </w:rPr>
        <w:t xml:space="preserve">ground of </w:t>
      </w:r>
      <w:r w:rsidR="006B0509" w:rsidRPr="006B2410">
        <w:rPr>
          <w:rFonts w:ascii="Times New Roman" w:hAnsi="Times New Roman" w:cs="Times New Roman"/>
          <w:sz w:val="24"/>
          <w:szCs w:val="24"/>
        </w:rPr>
        <w:t>appeal on this issue. In any event</w:t>
      </w:r>
      <w:r w:rsidR="00B6682A" w:rsidRPr="006B2410">
        <w:rPr>
          <w:rFonts w:ascii="Times New Roman" w:hAnsi="Times New Roman" w:cs="Times New Roman"/>
          <w:sz w:val="24"/>
          <w:szCs w:val="24"/>
        </w:rPr>
        <w:t>,</w:t>
      </w:r>
      <w:r w:rsidR="006B0509" w:rsidRPr="006B2410">
        <w:rPr>
          <w:rFonts w:ascii="Times New Roman" w:hAnsi="Times New Roman" w:cs="Times New Roman"/>
          <w:sz w:val="24"/>
          <w:szCs w:val="24"/>
        </w:rPr>
        <w:t xml:space="preserve"> he failed to produce documentary proof </w:t>
      </w:r>
      <w:r w:rsidR="006F0367">
        <w:rPr>
          <w:rFonts w:ascii="Times New Roman" w:hAnsi="Times New Roman" w:cs="Times New Roman"/>
          <w:sz w:val="24"/>
          <w:szCs w:val="24"/>
        </w:rPr>
        <w:t xml:space="preserve">to show </w:t>
      </w:r>
      <w:r w:rsidR="006B0509" w:rsidRPr="006B2410">
        <w:rPr>
          <w:rFonts w:ascii="Times New Roman" w:hAnsi="Times New Roman" w:cs="Times New Roman"/>
          <w:sz w:val="24"/>
          <w:szCs w:val="24"/>
        </w:rPr>
        <w:t xml:space="preserve">that the so called unrealised </w:t>
      </w:r>
      <w:r w:rsidR="00B6682A" w:rsidRPr="006B2410">
        <w:rPr>
          <w:rFonts w:ascii="Times New Roman" w:hAnsi="Times New Roman" w:cs="Times New Roman"/>
          <w:sz w:val="24"/>
          <w:szCs w:val="24"/>
        </w:rPr>
        <w:t xml:space="preserve">foreign exchange </w:t>
      </w:r>
      <w:r w:rsidR="006B0509" w:rsidRPr="006B2410">
        <w:rPr>
          <w:rFonts w:ascii="Times New Roman" w:hAnsi="Times New Roman" w:cs="Times New Roman"/>
          <w:sz w:val="24"/>
          <w:szCs w:val="24"/>
        </w:rPr>
        <w:t>gains had not been realised in respect of the 20</w:t>
      </w:r>
      <w:r w:rsidR="006E5843" w:rsidRPr="006B2410">
        <w:rPr>
          <w:rFonts w:ascii="Times New Roman" w:hAnsi="Times New Roman" w:cs="Times New Roman"/>
          <w:sz w:val="24"/>
          <w:szCs w:val="24"/>
        </w:rPr>
        <w:t>11, 2013 and 2014 tax years</w:t>
      </w:r>
      <w:r w:rsidR="008A14F3" w:rsidRPr="006B2410">
        <w:rPr>
          <w:rFonts w:ascii="Times New Roman" w:hAnsi="Times New Roman" w:cs="Times New Roman"/>
          <w:sz w:val="24"/>
          <w:szCs w:val="24"/>
        </w:rPr>
        <w:t xml:space="preserve"> and that they were mere bookkeeping entries </w:t>
      </w:r>
      <w:r w:rsidR="008A14F3" w:rsidRPr="006B2410">
        <w:rPr>
          <w:rFonts w:ascii="Times New Roman" w:hAnsi="Times New Roman" w:cs="Times New Roman"/>
          <w:sz w:val="24"/>
          <w:szCs w:val="24"/>
        </w:rPr>
        <w:lastRenderedPageBreak/>
        <w:t>and restatements calculated and generated by the JDE accounting package used by the appellant.</w:t>
      </w:r>
      <w:r w:rsidR="006E5843" w:rsidRPr="006B2410">
        <w:rPr>
          <w:rFonts w:ascii="Times New Roman" w:hAnsi="Times New Roman" w:cs="Times New Roman"/>
          <w:sz w:val="24"/>
          <w:szCs w:val="24"/>
        </w:rPr>
        <w:t xml:space="preserve"> </w:t>
      </w:r>
    </w:p>
    <w:p w:rsidR="00815DC8" w:rsidRPr="006B2410" w:rsidRDefault="001B2A6A"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In view of this factual finding, it is unnecessary to determine whether mere conversion of foreign currency denominated balances into the currency of account in a taxpayer’s </w:t>
      </w:r>
      <w:r w:rsidR="00CE2F3B" w:rsidRPr="006B2410">
        <w:rPr>
          <w:rFonts w:ascii="Times New Roman" w:hAnsi="Times New Roman" w:cs="Times New Roman"/>
          <w:sz w:val="24"/>
          <w:szCs w:val="24"/>
        </w:rPr>
        <w:t>year-end</w:t>
      </w:r>
      <w:r w:rsidRPr="006B2410">
        <w:rPr>
          <w:rFonts w:ascii="Times New Roman" w:hAnsi="Times New Roman" w:cs="Times New Roman"/>
          <w:sz w:val="24"/>
          <w:szCs w:val="24"/>
        </w:rPr>
        <w:t xml:space="preserve"> </w:t>
      </w:r>
      <w:r w:rsidR="00CE2F3B" w:rsidRPr="006B2410">
        <w:rPr>
          <w:rFonts w:ascii="Times New Roman" w:hAnsi="Times New Roman" w:cs="Times New Roman"/>
          <w:sz w:val="24"/>
          <w:szCs w:val="24"/>
        </w:rPr>
        <w:t>financial statements</w:t>
      </w:r>
      <w:r w:rsidRPr="006B2410">
        <w:rPr>
          <w:rFonts w:ascii="Times New Roman" w:hAnsi="Times New Roman" w:cs="Times New Roman"/>
          <w:sz w:val="24"/>
          <w:szCs w:val="24"/>
        </w:rPr>
        <w:t xml:space="preserve"> would constitute the type of realisation envisaged by s 8 (2) of the Income Tax Act.  </w:t>
      </w:r>
      <w:r w:rsidR="00815DC8" w:rsidRPr="006B2410">
        <w:rPr>
          <w:rFonts w:ascii="Times New Roman" w:hAnsi="Times New Roman" w:cs="Times New Roman"/>
          <w:sz w:val="24"/>
          <w:szCs w:val="24"/>
        </w:rPr>
        <w:t xml:space="preserve">Accordingly, this issue is decided against the appellant. </w:t>
      </w:r>
    </w:p>
    <w:p w:rsidR="001B2A6A" w:rsidRPr="006B2410" w:rsidRDefault="00623036" w:rsidP="003D1FED">
      <w:pPr>
        <w:spacing w:after="0" w:line="360" w:lineRule="auto"/>
        <w:jc w:val="both"/>
        <w:rPr>
          <w:rFonts w:ascii="Times New Roman" w:hAnsi="Times New Roman" w:cs="Times New Roman"/>
          <w:i/>
          <w:sz w:val="24"/>
          <w:szCs w:val="24"/>
        </w:rPr>
      </w:pPr>
      <w:r w:rsidRPr="006B2410">
        <w:rPr>
          <w:rFonts w:ascii="Times New Roman" w:hAnsi="Times New Roman" w:cs="Times New Roman"/>
          <w:i/>
          <w:sz w:val="24"/>
          <w:szCs w:val="24"/>
        </w:rPr>
        <w:t>Whether a fair value of a long term debt constitutes taxable income</w:t>
      </w:r>
    </w:p>
    <w:p w:rsidR="006B0509" w:rsidRPr="006B2410" w:rsidRDefault="00623036" w:rsidP="003D1FED">
      <w:pPr>
        <w:spacing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In the 2014 tax year, the appellant fair valued a long term debt owing by the Employer in the sum of US$37m, I presume</w:t>
      </w:r>
      <w:r w:rsidR="00065077" w:rsidRPr="006B2410">
        <w:rPr>
          <w:rFonts w:ascii="Times New Roman" w:hAnsi="Times New Roman" w:cs="Times New Roman"/>
          <w:sz w:val="24"/>
          <w:szCs w:val="24"/>
        </w:rPr>
        <w:t>, in</w:t>
      </w:r>
      <w:r w:rsidRPr="006B2410">
        <w:rPr>
          <w:rFonts w:ascii="Times New Roman" w:hAnsi="Times New Roman" w:cs="Times New Roman"/>
          <w:sz w:val="24"/>
          <w:szCs w:val="24"/>
        </w:rPr>
        <w:t xml:space="preserve"> terms of IFRS 13: Fair Value Measurement,</w:t>
      </w:r>
      <w:r w:rsidRPr="006B2410">
        <w:rPr>
          <w:rStyle w:val="FootnoteReference"/>
          <w:rFonts w:ascii="Times New Roman" w:hAnsi="Times New Roman" w:cs="Times New Roman"/>
          <w:sz w:val="24"/>
          <w:szCs w:val="24"/>
        </w:rPr>
        <w:footnoteReference w:id="19"/>
      </w:r>
      <w:r w:rsidRPr="006B2410">
        <w:rPr>
          <w:rFonts w:ascii="Times New Roman" w:hAnsi="Times New Roman" w:cs="Times New Roman"/>
          <w:sz w:val="24"/>
          <w:szCs w:val="24"/>
        </w:rPr>
        <w:t xml:space="preserve"> which came into force on 1 January 2013</w:t>
      </w:r>
      <w:r w:rsidR="00065077" w:rsidRPr="006B2410">
        <w:rPr>
          <w:rFonts w:ascii="Times New Roman" w:hAnsi="Times New Roman" w:cs="Times New Roman"/>
          <w:sz w:val="24"/>
          <w:szCs w:val="24"/>
        </w:rPr>
        <w:t xml:space="preserve"> and </w:t>
      </w:r>
      <w:r w:rsidR="006B05F2" w:rsidRPr="006B2410">
        <w:rPr>
          <w:rFonts w:ascii="Times New Roman" w:hAnsi="Times New Roman" w:cs="Times New Roman"/>
          <w:sz w:val="24"/>
          <w:szCs w:val="24"/>
        </w:rPr>
        <w:t xml:space="preserve">was amended on 1 </w:t>
      </w:r>
      <w:r w:rsidR="00065077" w:rsidRPr="006B2410">
        <w:rPr>
          <w:rFonts w:ascii="Times New Roman" w:hAnsi="Times New Roman" w:cs="Times New Roman"/>
          <w:sz w:val="24"/>
          <w:szCs w:val="24"/>
        </w:rPr>
        <w:t>June 201</w:t>
      </w:r>
      <w:r w:rsidR="006B05F2" w:rsidRPr="006B2410">
        <w:rPr>
          <w:rFonts w:ascii="Times New Roman" w:hAnsi="Times New Roman" w:cs="Times New Roman"/>
          <w:sz w:val="24"/>
          <w:szCs w:val="24"/>
        </w:rPr>
        <w:t>4. The appellant credited to its</w:t>
      </w:r>
      <w:r w:rsidR="00065077" w:rsidRPr="006B2410">
        <w:rPr>
          <w:rFonts w:ascii="Times New Roman" w:hAnsi="Times New Roman" w:cs="Times New Roman"/>
          <w:sz w:val="24"/>
          <w:szCs w:val="24"/>
        </w:rPr>
        <w:t xml:space="preserve"> income statement the sum of US$ 268 736 in respect of this unrealised fair value adjus</w:t>
      </w:r>
      <w:r w:rsidR="006B05F2" w:rsidRPr="006B2410">
        <w:rPr>
          <w:rFonts w:ascii="Times New Roman" w:hAnsi="Times New Roman" w:cs="Times New Roman"/>
          <w:sz w:val="24"/>
          <w:szCs w:val="24"/>
        </w:rPr>
        <w:t>tment</w:t>
      </w:r>
      <w:r w:rsidR="00065077" w:rsidRPr="006B2410">
        <w:rPr>
          <w:rFonts w:ascii="Times New Roman" w:hAnsi="Times New Roman" w:cs="Times New Roman"/>
          <w:sz w:val="24"/>
          <w:szCs w:val="24"/>
        </w:rPr>
        <w:t xml:space="preserve"> and but deducted it from its 2014</w:t>
      </w:r>
      <w:r w:rsidR="00AB3437" w:rsidRPr="006B2410">
        <w:rPr>
          <w:rFonts w:ascii="Times New Roman" w:hAnsi="Times New Roman" w:cs="Times New Roman"/>
          <w:sz w:val="24"/>
          <w:szCs w:val="24"/>
        </w:rPr>
        <w:t xml:space="preserve"> income. The</w:t>
      </w:r>
      <w:r w:rsidR="00191A19">
        <w:rPr>
          <w:rFonts w:ascii="Times New Roman" w:hAnsi="Times New Roman" w:cs="Times New Roman"/>
          <w:sz w:val="24"/>
          <w:szCs w:val="24"/>
        </w:rPr>
        <w:t xml:space="preserve"> respondent treated it as acrued</w:t>
      </w:r>
      <w:r w:rsidR="00AB3437" w:rsidRPr="006B2410">
        <w:rPr>
          <w:rFonts w:ascii="Times New Roman" w:hAnsi="Times New Roman" w:cs="Times New Roman"/>
          <w:sz w:val="24"/>
          <w:szCs w:val="24"/>
        </w:rPr>
        <w:t xml:space="preserve"> income and added it back to income. </w:t>
      </w:r>
      <w:r w:rsidR="00706905" w:rsidRPr="006B2410">
        <w:rPr>
          <w:rFonts w:ascii="Times New Roman" w:hAnsi="Times New Roman" w:cs="Times New Roman"/>
          <w:sz w:val="24"/>
          <w:szCs w:val="24"/>
        </w:rPr>
        <w:t xml:space="preserve"> The appellant contended that it was a mere bookkeeping entry which was not subj</w:t>
      </w:r>
      <w:r w:rsidR="00EC3813" w:rsidRPr="006B2410">
        <w:rPr>
          <w:rFonts w:ascii="Times New Roman" w:hAnsi="Times New Roman" w:cs="Times New Roman"/>
          <w:sz w:val="24"/>
          <w:szCs w:val="24"/>
        </w:rPr>
        <w:t>ect to tax.  The respondent</w:t>
      </w:r>
      <w:r w:rsidR="00706905" w:rsidRPr="006B2410">
        <w:rPr>
          <w:rFonts w:ascii="Times New Roman" w:hAnsi="Times New Roman" w:cs="Times New Roman"/>
          <w:sz w:val="24"/>
          <w:szCs w:val="24"/>
        </w:rPr>
        <w:t xml:space="preserve"> sought disclosure of the computation methodology used by the appellant and satisfaction that this fair value adjustment was not a disguised </w:t>
      </w:r>
      <w:r w:rsidR="00F1483E" w:rsidRPr="006B2410">
        <w:rPr>
          <w:rFonts w:ascii="Times New Roman" w:hAnsi="Times New Roman" w:cs="Times New Roman"/>
          <w:sz w:val="24"/>
          <w:szCs w:val="24"/>
        </w:rPr>
        <w:t xml:space="preserve">adjustment for a bad debt or even </w:t>
      </w:r>
      <w:r w:rsidR="00EC3813" w:rsidRPr="006B2410">
        <w:rPr>
          <w:rFonts w:ascii="Times New Roman" w:hAnsi="Times New Roman" w:cs="Times New Roman"/>
          <w:sz w:val="24"/>
          <w:szCs w:val="24"/>
        </w:rPr>
        <w:t>a provision for a doubtful debt</w:t>
      </w:r>
      <w:r w:rsidR="00F1483E" w:rsidRPr="006B2410">
        <w:rPr>
          <w:rFonts w:ascii="Times New Roman" w:hAnsi="Times New Roman" w:cs="Times New Roman"/>
          <w:sz w:val="24"/>
          <w:szCs w:val="24"/>
        </w:rPr>
        <w:t xml:space="preserve">. </w:t>
      </w:r>
      <w:r w:rsidR="00EC3813" w:rsidRPr="006B2410">
        <w:rPr>
          <w:rFonts w:ascii="Times New Roman" w:hAnsi="Times New Roman" w:cs="Times New Roman"/>
          <w:sz w:val="24"/>
          <w:szCs w:val="24"/>
        </w:rPr>
        <w:t xml:space="preserve">These were valid concerns which were not addressed by the appellant on objection or appeal. The appellant has failed to discharge the onus on it to show that the purported fair value of the debt was not a disguised adjustment for a bad debt or a provision for a doubtful debt. </w:t>
      </w:r>
    </w:p>
    <w:p w:rsidR="00810332" w:rsidRPr="006B2410" w:rsidRDefault="00810332" w:rsidP="003D1FED">
      <w:pPr>
        <w:spacing w:line="360" w:lineRule="auto"/>
        <w:jc w:val="both"/>
        <w:rPr>
          <w:rFonts w:ascii="Times New Roman" w:hAnsi="Times New Roman" w:cs="Times New Roman"/>
          <w:i/>
          <w:sz w:val="24"/>
          <w:szCs w:val="24"/>
        </w:rPr>
      </w:pPr>
      <w:r w:rsidRPr="006B2410">
        <w:rPr>
          <w:rFonts w:ascii="Times New Roman" w:hAnsi="Times New Roman" w:cs="Times New Roman"/>
          <w:i/>
          <w:sz w:val="24"/>
          <w:szCs w:val="24"/>
        </w:rPr>
        <w:t>Whether it was appropriate for the respondent to raise penalties of 100% or at all</w:t>
      </w:r>
    </w:p>
    <w:p w:rsidR="00354011" w:rsidRPr="006B2410" w:rsidRDefault="00E63A06"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imposition of penalties is always in the discretion of the appeal court. </w:t>
      </w:r>
      <w:r w:rsidR="00B1008B" w:rsidRPr="006B2410">
        <w:rPr>
          <w:rFonts w:ascii="Times New Roman" w:hAnsi="Times New Roman" w:cs="Times New Roman"/>
          <w:sz w:val="24"/>
          <w:szCs w:val="24"/>
        </w:rPr>
        <w:t xml:space="preserve">In regards to s 15 (2) (cc) issue, the appellant submitted that it did not intend to </w:t>
      </w:r>
      <w:r w:rsidR="0049453A" w:rsidRPr="006B2410">
        <w:rPr>
          <w:rFonts w:ascii="Times New Roman" w:hAnsi="Times New Roman" w:cs="Times New Roman"/>
          <w:sz w:val="24"/>
          <w:szCs w:val="24"/>
        </w:rPr>
        <w:t>evade tax by either defrauding the revenue or postponing the payment of the tax charg</w:t>
      </w:r>
      <w:r w:rsidR="00910F3F" w:rsidRPr="006B2410">
        <w:rPr>
          <w:rFonts w:ascii="Times New Roman" w:hAnsi="Times New Roman" w:cs="Times New Roman"/>
          <w:sz w:val="24"/>
          <w:szCs w:val="24"/>
        </w:rPr>
        <w:t>eable. The respondent moved the Court to find</w:t>
      </w:r>
      <w:r w:rsidR="0049453A" w:rsidRPr="006B2410">
        <w:rPr>
          <w:rFonts w:ascii="Times New Roman" w:hAnsi="Times New Roman" w:cs="Times New Roman"/>
          <w:sz w:val="24"/>
          <w:szCs w:val="24"/>
        </w:rPr>
        <w:t xml:space="preserve"> that the appellant intended to defraud the revenue or postpone the payment of the correct amount of tax due. I found as a matter of hard fact that the appellant invoked s 15 (2) (cc) in the full knowledge that all the interim payments made to them were made </w:t>
      </w:r>
      <w:r w:rsidR="0049453A" w:rsidRPr="006B2410">
        <w:rPr>
          <w:rFonts w:ascii="Times New Roman" w:hAnsi="Times New Roman" w:cs="Times New Roman"/>
          <w:i/>
          <w:sz w:val="24"/>
          <w:szCs w:val="24"/>
        </w:rPr>
        <w:t>in lieu</w:t>
      </w:r>
      <w:r w:rsidR="0049453A" w:rsidRPr="006B2410">
        <w:rPr>
          <w:rFonts w:ascii="Times New Roman" w:hAnsi="Times New Roman" w:cs="Times New Roman"/>
          <w:sz w:val="24"/>
          <w:szCs w:val="24"/>
        </w:rPr>
        <w:t xml:space="preserve"> of work done. </w:t>
      </w:r>
      <w:r w:rsidR="00910F3F" w:rsidRPr="006B2410">
        <w:rPr>
          <w:rFonts w:ascii="Times New Roman" w:hAnsi="Times New Roman" w:cs="Times New Roman"/>
          <w:sz w:val="24"/>
          <w:szCs w:val="24"/>
        </w:rPr>
        <w:t>That the</w:t>
      </w:r>
      <w:r w:rsidR="00A34EB5" w:rsidRPr="006B2410">
        <w:rPr>
          <w:rFonts w:ascii="Times New Roman" w:hAnsi="Times New Roman" w:cs="Times New Roman"/>
          <w:sz w:val="24"/>
          <w:szCs w:val="24"/>
        </w:rPr>
        <w:t xml:space="preserve"> payments could only be made after the work had been performed was clear from the nature of the contract itself and from sub-clause 14.3 (a)’s use of the phrase “the estimated contract value of the Works executed”, upon which the Schedule </w:t>
      </w:r>
      <w:r w:rsidR="00A34EB5" w:rsidRPr="006B2410">
        <w:rPr>
          <w:rFonts w:ascii="Times New Roman" w:hAnsi="Times New Roman" w:cs="Times New Roman"/>
          <w:sz w:val="24"/>
          <w:szCs w:val="24"/>
        </w:rPr>
        <w:lastRenderedPageBreak/>
        <w:t xml:space="preserve">of payments </w:t>
      </w:r>
      <w:r w:rsidR="00DA3BD6" w:rsidRPr="006B2410">
        <w:rPr>
          <w:rFonts w:ascii="Times New Roman" w:hAnsi="Times New Roman" w:cs="Times New Roman"/>
          <w:sz w:val="24"/>
          <w:szCs w:val="24"/>
        </w:rPr>
        <w:t xml:space="preserve">in sub-clause 14.4 (a) </w:t>
      </w:r>
      <w:r w:rsidR="00A34EB5" w:rsidRPr="006B2410">
        <w:rPr>
          <w:rFonts w:ascii="Times New Roman" w:hAnsi="Times New Roman" w:cs="Times New Roman"/>
          <w:sz w:val="24"/>
          <w:szCs w:val="24"/>
        </w:rPr>
        <w:t xml:space="preserve">were predicated. </w:t>
      </w:r>
      <w:r w:rsidR="0049453A" w:rsidRPr="006B2410">
        <w:rPr>
          <w:rFonts w:ascii="Times New Roman" w:hAnsi="Times New Roman" w:cs="Times New Roman"/>
          <w:sz w:val="24"/>
          <w:szCs w:val="24"/>
        </w:rPr>
        <w:t xml:space="preserve"> </w:t>
      </w:r>
      <w:r w:rsidR="00654BFB" w:rsidRPr="006B2410">
        <w:rPr>
          <w:rFonts w:ascii="Times New Roman" w:hAnsi="Times New Roman" w:cs="Times New Roman"/>
          <w:sz w:val="24"/>
          <w:szCs w:val="24"/>
        </w:rPr>
        <w:t>The a</w:t>
      </w:r>
      <w:r w:rsidR="00910F3F" w:rsidRPr="006B2410">
        <w:rPr>
          <w:rFonts w:ascii="Times New Roman" w:hAnsi="Times New Roman" w:cs="Times New Roman"/>
          <w:sz w:val="24"/>
          <w:szCs w:val="24"/>
        </w:rPr>
        <w:t>ppellant deliberately called the quantity surveyor</w:t>
      </w:r>
      <w:r w:rsidR="00654BFB" w:rsidRPr="006B2410">
        <w:rPr>
          <w:rFonts w:ascii="Times New Roman" w:hAnsi="Times New Roman" w:cs="Times New Roman"/>
          <w:sz w:val="24"/>
          <w:szCs w:val="24"/>
        </w:rPr>
        <w:t xml:space="preserve"> who was not conversant with the compilation of the Contractor’s progress report</w:t>
      </w:r>
      <w:r w:rsidR="00910F3F" w:rsidRPr="006B2410">
        <w:rPr>
          <w:rFonts w:ascii="Times New Roman" w:hAnsi="Times New Roman" w:cs="Times New Roman"/>
          <w:sz w:val="24"/>
          <w:szCs w:val="24"/>
        </w:rPr>
        <w:t xml:space="preserve"> and the other accompanying documents</w:t>
      </w:r>
      <w:r w:rsidR="00654BFB" w:rsidRPr="006B2410">
        <w:rPr>
          <w:rFonts w:ascii="Times New Roman" w:hAnsi="Times New Roman" w:cs="Times New Roman"/>
          <w:sz w:val="24"/>
          <w:szCs w:val="24"/>
        </w:rPr>
        <w:t>. It was cl</w:t>
      </w:r>
      <w:r w:rsidR="00910F3F" w:rsidRPr="006B2410">
        <w:rPr>
          <w:rFonts w:ascii="Times New Roman" w:hAnsi="Times New Roman" w:cs="Times New Roman"/>
          <w:sz w:val="24"/>
          <w:szCs w:val="24"/>
        </w:rPr>
        <w:t>ear to me that the payments that were</w:t>
      </w:r>
      <w:r w:rsidR="00654BFB" w:rsidRPr="006B2410">
        <w:rPr>
          <w:rFonts w:ascii="Times New Roman" w:hAnsi="Times New Roman" w:cs="Times New Roman"/>
          <w:sz w:val="24"/>
          <w:szCs w:val="24"/>
        </w:rPr>
        <w:t xml:space="preserve"> disbursed in accordance with time-framed schedule of payments were based on the progress of works certified by the contractor and employer’s representatives</w:t>
      </w:r>
      <w:r w:rsidR="00910F3F" w:rsidRPr="006B2410">
        <w:rPr>
          <w:rFonts w:ascii="Times New Roman" w:hAnsi="Times New Roman" w:cs="Times New Roman"/>
          <w:sz w:val="24"/>
          <w:szCs w:val="24"/>
        </w:rPr>
        <w:t>,</w:t>
      </w:r>
      <w:r w:rsidR="00604A3A" w:rsidRPr="006B2410">
        <w:rPr>
          <w:rFonts w:ascii="Times New Roman" w:hAnsi="Times New Roman" w:cs="Times New Roman"/>
          <w:i/>
          <w:sz w:val="24"/>
          <w:szCs w:val="24"/>
        </w:rPr>
        <w:t xml:space="preserve"> </w:t>
      </w:r>
      <w:r w:rsidR="00604A3A" w:rsidRPr="006B2410">
        <w:rPr>
          <w:rFonts w:ascii="Times New Roman" w:hAnsi="Times New Roman" w:cs="Times New Roman"/>
          <w:sz w:val="24"/>
          <w:szCs w:val="24"/>
        </w:rPr>
        <w:t>otherwi</w:t>
      </w:r>
      <w:r w:rsidR="00910F3F" w:rsidRPr="006B2410">
        <w:rPr>
          <w:rFonts w:ascii="Times New Roman" w:hAnsi="Times New Roman" w:cs="Times New Roman"/>
          <w:sz w:val="24"/>
          <w:szCs w:val="24"/>
        </w:rPr>
        <w:t>se the</w:t>
      </w:r>
      <w:r w:rsidR="00604A3A" w:rsidRPr="006B2410">
        <w:rPr>
          <w:rFonts w:ascii="Times New Roman" w:hAnsi="Times New Roman" w:cs="Times New Roman"/>
          <w:sz w:val="24"/>
          <w:szCs w:val="24"/>
        </w:rPr>
        <w:t xml:space="preserve"> two delayed payments</w:t>
      </w:r>
      <w:r w:rsidR="00910F3F" w:rsidRPr="006B2410">
        <w:rPr>
          <w:rFonts w:ascii="Times New Roman" w:hAnsi="Times New Roman" w:cs="Times New Roman"/>
          <w:sz w:val="24"/>
          <w:szCs w:val="24"/>
        </w:rPr>
        <w:t xml:space="preserve"> mentioned by the first witness</w:t>
      </w:r>
      <w:r w:rsidR="00604A3A" w:rsidRPr="006B2410">
        <w:rPr>
          <w:rFonts w:ascii="Times New Roman" w:hAnsi="Times New Roman" w:cs="Times New Roman"/>
          <w:sz w:val="24"/>
          <w:szCs w:val="24"/>
        </w:rPr>
        <w:t xml:space="preserve"> would not have occurred</w:t>
      </w:r>
      <w:r w:rsidR="00604A3A" w:rsidRPr="006B2410">
        <w:rPr>
          <w:rFonts w:ascii="Times New Roman" w:hAnsi="Times New Roman" w:cs="Times New Roman"/>
          <w:i/>
          <w:sz w:val="24"/>
          <w:szCs w:val="24"/>
        </w:rPr>
        <w:t>.</w:t>
      </w:r>
      <w:r w:rsidR="00604A3A" w:rsidRPr="006B2410">
        <w:rPr>
          <w:rFonts w:ascii="Times New Roman" w:hAnsi="Times New Roman" w:cs="Times New Roman"/>
          <w:sz w:val="24"/>
          <w:szCs w:val="24"/>
        </w:rPr>
        <w:t xml:space="preserve"> </w:t>
      </w:r>
      <w:r w:rsidR="00817791" w:rsidRPr="006B2410">
        <w:rPr>
          <w:rFonts w:ascii="Times New Roman" w:hAnsi="Times New Roman" w:cs="Times New Roman"/>
          <w:sz w:val="24"/>
          <w:szCs w:val="24"/>
        </w:rPr>
        <w:t xml:space="preserve"> I agree with Mr </w:t>
      </w:r>
      <w:r w:rsidR="00817791" w:rsidRPr="006B2410">
        <w:rPr>
          <w:rFonts w:ascii="Times New Roman" w:hAnsi="Times New Roman" w:cs="Times New Roman"/>
          <w:i/>
          <w:sz w:val="24"/>
          <w:szCs w:val="24"/>
        </w:rPr>
        <w:t>Magwalib</w:t>
      </w:r>
      <w:r w:rsidR="00817791" w:rsidRPr="006B2410">
        <w:rPr>
          <w:rFonts w:ascii="Times New Roman" w:hAnsi="Times New Roman" w:cs="Times New Roman"/>
          <w:sz w:val="24"/>
          <w:szCs w:val="24"/>
        </w:rPr>
        <w:t>a tha</w:t>
      </w:r>
      <w:r w:rsidR="00910F3F" w:rsidRPr="006B2410">
        <w:rPr>
          <w:rFonts w:ascii="Times New Roman" w:hAnsi="Times New Roman" w:cs="Times New Roman"/>
          <w:sz w:val="24"/>
          <w:szCs w:val="24"/>
        </w:rPr>
        <w:t>t the appellant deliberately intended</w:t>
      </w:r>
      <w:r w:rsidR="00817791" w:rsidRPr="006B2410">
        <w:rPr>
          <w:rFonts w:ascii="Times New Roman" w:hAnsi="Times New Roman" w:cs="Times New Roman"/>
          <w:sz w:val="24"/>
          <w:szCs w:val="24"/>
        </w:rPr>
        <w:t xml:space="preserve"> to evade the payment of the correct tax chargeable by invoking the inapplicable provisions of s 15 (2) (cc). </w:t>
      </w:r>
      <w:r w:rsidR="00307DF9" w:rsidRPr="006B2410">
        <w:rPr>
          <w:rFonts w:ascii="Times New Roman" w:hAnsi="Times New Roman" w:cs="Times New Roman"/>
          <w:sz w:val="24"/>
          <w:szCs w:val="24"/>
        </w:rPr>
        <w:t xml:space="preserve">In these circumstance, s 46 </w:t>
      </w:r>
      <w:r w:rsidR="00354011" w:rsidRPr="006B2410">
        <w:rPr>
          <w:rFonts w:ascii="Times New Roman" w:hAnsi="Times New Roman" w:cs="Times New Roman"/>
          <w:sz w:val="24"/>
          <w:szCs w:val="24"/>
        </w:rPr>
        <w:t xml:space="preserve">(1) (c) </w:t>
      </w:r>
      <w:r w:rsidR="009610F3" w:rsidRPr="006B2410">
        <w:rPr>
          <w:rFonts w:ascii="Times New Roman" w:hAnsi="Times New Roman" w:cs="Times New Roman"/>
          <w:sz w:val="24"/>
          <w:szCs w:val="24"/>
        </w:rPr>
        <w:t xml:space="preserve">as read with </w:t>
      </w:r>
      <w:r w:rsidR="00307DF9" w:rsidRPr="006B2410">
        <w:rPr>
          <w:rFonts w:ascii="Times New Roman" w:hAnsi="Times New Roman" w:cs="Times New Roman"/>
          <w:sz w:val="24"/>
          <w:szCs w:val="24"/>
        </w:rPr>
        <w:t>(6) of the Income Tax Act, requires the Commissioner on objection and the Court on appeal to impose the mandatory dollar for dollar penalty.</w:t>
      </w:r>
      <w:r w:rsidR="00354011" w:rsidRPr="006B2410">
        <w:rPr>
          <w:rFonts w:ascii="Times New Roman" w:hAnsi="Times New Roman" w:cs="Times New Roman"/>
          <w:sz w:val="24"/>
          <w:szCs w:val="24"/>
        </w:rPr>
        <w:t xml:space="preserve"> The 100% penalty imposed by the Commissioner in regards to the first issue is accordingly confirmed. </w:t>
      </w:r>
    </w:p>
    <w:p w:rsidR="00FD2192" w:rsidRPr="006B2410" w:rsidRDefault="00BF4DDA"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The appellant withdrew the appeal against management fees and conceded the correctness of the determination made to the objection on this issue. </w:t>
      </w:r>
      <w:r w:rsidR="006016CD" w:rsidRPr="006B2410">
        <w:rPr>
          <w:rFonts w:ascii="Times New Roman" w:hAnsi="Times New Roman" w:cs="Times New Roman"/>
          <w:sz w:val="24"/>
          <w:szCs w:val="24"/>
        </w:rPr>
        <w:t xml:space="preserve">Counsel for the appellant did not proffer any argument against the penalty of 100% imposed in respect of management fees as circumscribed by the provisions of s 16 (1) (r) of the Act. </w:t>
      </w:r>
      <w:r w:rsidR="00FD2192" w:rsidRPr="006B2410">
        <w:rPr>
          <w:rFonts w:ascii="Times New Roman" w:hAnsi="Times New Roman" w:cs="Times New Roman"/>
          <w:sz w:val="24"/>
          <w:szCs w:val="24"/>
        </w:rPr>
        <w:t>T</w:t>
      </w:r>
      <w:r w:rsidR="009A380A" w:rsidRPr="006B2410">
        <w:rPr>
          <w:rFonts w:ascii="Times New Roman" w:hAnsi="Times New Roman" w:cs="Times New Roman"/>
          <w:sz w:val="24"/>
          <w:szCs w:val="24"/>
        </w:rPr>
        <w:t>he penalty imposed on the</w:t>
      </w:r>
      <w:r w:rsidR="00FD2192" w:rsidRPr="006B2410">
        <w:rPr>
          <w:rFonts w:ascii="Times New Roman" w:hAnsi="Times New Roman" w:cs="Times New Roman"/>
          <w:sz w:val="24"/>
          <w:szCs w:val="24"/>
        </w:rPr>
        <w:t xml:space="preserve"> amounts </w:t>
      </w:r>
      <w:r w:rsidR="009A380A" w:rsidRPr="006B2410">
        <w:rPr>
          <w:rFonts w:ascii="Times New Roman" w:hAnsi="Times New Roman" w:cs="Times New Roman"/>
          <w:sz w:val="24"/>
          <w:szCs w:val="24"/>
        </w:rPr>
        <w:t xml:space="preserve">less those allowable in terms of s 16 (1) (r) </w:t>
      </w:r>
      <w:r w:rsidR="00FD2192" w:rsidRPr="006B2410">
        <w:rPr>
          <w:rFonts w:ascii="Times New Roman" w:hAnsi="Times New Roman" w:cs="Times New Roman"/>
          <w:sz w:val="24"/>
          <w:szCs w:val="24"/>
        </w:rPr>
        <w:t xml:space="preserve">is confirmed. </w:t>
      </w:r>
    </w:p>
    <w:p w:rsidR="00BF4DDA" w:rsidRPr="006B2410" w:rsidRDefault="00FD2192"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In regards to the 100% penalty imposed on </w:t>
      </w:r>
      <w:r w:rsidR="00374216" w:rsidRPr="006B2410">
        <w:rPr>
          <w:rFonts w:ascii="Times New Roman" w:hAnsi="Times New Roman" w:cs="Times New Roman"/>
          <w:sz w:val="24"/>
          <w:szCs w:val="24"/>
        </w:rPr>
        <w:t xml:space="preserve">foreign </w:t>
      </w:r>
      <w:r w:rsidR="002C7DF2">
        <w:rPr>
          <w:rFonts w:ascii="Times New Roman" w:hAnsi="Times New Roman" w:cs="Times New Roman"/>
          <w:sz w:val="24"/>
          <w:szCs w:val="24"/>
        </w:rPr>
        <w:t>exchange</w:t>
      </w:r>
      <w:r w:rsidRPr="006B2410">
        <w:rPr>
          <w:rFonts w:ascii="Times New Roman" w:hAnsi="Times New Roman" w:cs="Times New Roman"/>
          <w:sz w:val="24"/>
          <w:szCs w:val="24"/>
        </w:rPr>
        <w:t xml:space="preserve"> gains, it was always apparent from the evidence proffered by the appellant that the claim for unrealised </w:t>
      </w:r>
      <w:r w:rsidR="00DA4661" w:rsidRPr="006B2410">
        <w:rPr>
          <w:rFonts w:ascii="Times New Roman" w:hAnsi="Times New Roman" w:cs="Times New Roman"/>
          <w:sz w:val="24"/>
          <w:szCs w:val="24"/>
        </w:rPr>
        <w:t>foreign exchange</w:t>
      </w:r>
      <w:r w:rsidRPr="006B2410">
        <w:rPr>
          <w:rFonts w:ascii="Times New Roman" w:hAnsi="Times New Roman" w:cs="Times New Roman"/>
          <w:sz w:val="24"/>
          <w:szCs w:val="24"/>
        </w:rPr>
        <w:t xml:space="preserve"> gains was unjustified. The persistent objection and appeal launched was not based on any true desire to right a wrong but in my view amounted to a deliberate attempt to evade the payment of</w:t>
      </w:r>
      <w:r w:rsidR="002560C7" w:rsidRPr="006B2410">
        <w:rPr>
          <w:rFonts w:ascii="Times New Roman" w:hAnsi="Times New Roman" w:cs="Times New Roman"/>
          <w:sz w:val="24"/>
          <w:szCs w:val="24"/>
        </w:rPr>
        <w:t xml:space="preserve"> the correct tax on this</w:t>
      </w:r>
      <w:r w:rsidR="003F354F" w:rsidRPr="006B2410">
        <w:rPr>
          <w:rFonts w:ascii="Times New Roman" w:hAnsi="Times New Roman" w:cs="Times New Roman"/>
          <w:sz w:val="24"/>
          <w:szCs w:val="24"/>
        </w:rPr>
        <w:t xml:space="preserve"> issue. It is mandatory in these circumstances to impose the 100% penalty. I, therefore, confirm the penalty imposed by the Commissioner in respect of </w:t>
      </w:r>
      <w:r w:rsidR="002C7DF2">
        <w:rPr>
          <w:rFonts w:ascii="Times New Roman" w:hAnsi="Times New Roman" w:cs="Times New Roman"/>
          <w:sz w:val="24"/>
          <w:szCs w:val="24"/>
        </w:rPr>
        <w:t xml:space="preserve">the </w:t>
      </w:r>
      <w:r w:rsidR="002560C7" w:rsidRPr="006B2410">
        <w:rPr>
          <w:rFonts w:ascii="Times New Roman" w:hAnsi="Times New Roman" w:cs="Times New Roman"/>
          <w:sz w:val="24"/>
          <w:szCs w:val="24"/>
        </w:rPr>
        <w:t>foreign exchange</w:t>
      </w:r>
      <w:r w:rsidR="003F354F" w:rsidRPr="006B2410">
        <w:rPr>
          <w:rFonts w:ascii="Times New Roman" w:hAnsi="Times New Roman" w:cs="Times New Roman"/>
          <w:sz w:val="24"/>
          <w:szCs w:val="24"/>
        </w:rPr>
        <w:t xml:space="preserve"> gains</w:t>
      </w:r>
      <w:r w:rsidR="00703F5D" w:rsidRPr="006B2410">
        <w:rPr>
          <w:rFonts w:ascii="Times New Roman" w:hAnsi="Times New Roman" w:cs="Times New Roman"/>
          <w:sz w:val="24"/>
          <w:szCs w:val="24"/>
        </w:rPr>
        <w:t xml:space="preserve"> in question</w:t>
      </w:r>
      <w:r w:rsidR="003F354F" w:rsidRPr="006B2410">
        <w:rPr>
          <w:rFonts w:ascii="Times New Roman" w:hAnsi="Times New Roman" w:cs="Times New Roman"/>
          <w:sz w:val="24"/>
          <w:szCs w:val="24"/>
        </w:rPr>
        <w:t>.</w:t>
      </w:r>
    </w:p>
    <w:p w:rsidR="0086724A" w:rsidRPr="006B2410" w:rsidRDefault="00505645" w:rsidP="003D1FED">
      <w:pPr>
        <w:spacing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t xml:space="preserve">I am compelled by the facts to do the same with respect to the fair value of a long term receivable. The appellant failed to provide the factual basis for the remittal of this US$268 736 it claimed was not accrued income and sought to rely on legal arguments. The required information could only be provided by the appellant. The issue involved the treatment of a long term debt owed to the appellant. The appellant failed to discharge the onus on it to </w:t>
      </w:r>
      <w:r w:rsidR="0086724A" w:rsidRPr="006B2410">
        <w:rPr>
          <w:rFonts w:ascii="Times New Roman" w:hAnsi="Times New Roman" w:cs="Times New Roman"/>
          <w:sz w:val="24"/>
          <w:szCs w:val="24"/>
        </w:rPr>
        <w:t xml:space="preserve">distinguish the amount in question from a doubtful debt provision or a bad debt </w:t>
      </w:r>
      <w:r w:rsidR="00D55F3E" w:rsidRPr="006B2410">
        <w:rPr>
          <w:rFonts w:ascii="Times New Roman" w:hAnsi="Times New Roman" w:cs="Times New Roman"/>
          <w:sz w:val="24"/>
          <w:szCs w:val="24"/>
        </w:rPr>
        <w:t>adjustment</w:t>
      </w:r>
      <w:r w:rsidR="0086724A" w:rsidRPr="006B2410">
        <w:rPr>
          <w:rFonts w:ascii="Times New Roman" w:hAnsi="Times New Roman" w:cs="Times New Roman"/>
          <w:sz w:val="24"/>
          <w:szCs w:val="24"/>
        </w:rPr>
        <w:t>. The appellant did not make any argument in favour of reducing the penalty imposed by the Commissioner</w:t>
      </w:r>
      <w:r w:rsidR="00D55F3E" w:rsidRPr="006B2410">
        <w:rPr>
          <w:rFonts w:ascii="Times New Roman" w:hAnsi="Times New Roman" w:cs="Times New Roman"/>
          <w:sz w:val="24"/>
          <w:szCs w:val="24"/>
        </w:rPr>
        <w:t xml:space="preserve"> on this issue</w:t>
      </w:r>
      <w:r w:rsidR="0086724A" w:rsidRPr="006B2410">
        <w:rPr>
          <w:rFonts w:ascii="Times New Roman" w:hAnsi="Times New Roman" w:cs="Times New Roman"/>
          <w:sz w:val="24"/>
          <w:szCs w:val="24"/>
        </w:rPr>
        <w:t xml:space="preserve">. I, therefore, confirm the penalty. </w:t>
      </w:r>
    </w:p>
    <w:p w:rsidR="0086724A" w:rsidRPr="006B2410" w:rsidRDefault="0086724A" w:rsidP="003D1FED">
      <w:pPr>
        <w:spacing w:line="360" w:lineRule="auto"/>
        <w:jc w:val="both"/>
        <w:rPr>
          <w:rFonts w:ascii="Times New Roman" w:hAnsi="Times New Roman" w:cs="Times New Roman"/>
          <w:sz w:val="24"/>
          <w:szCs w:val="24"/>
          <w:u w:val="single"/>
        </w:rPr>
      </w:pPr>
      <w:r w:rsidRPr="006B2410">
        <w:rPr>
          <w:rFonts w:ascii="Times New Roman" w:hAnsi="Times New Roman" w:cs="Times New Roman"/>
          <w:sz w:val="24"/>
          <w:szCs w:val="24"/>
          <w:u w:val="single"/>
        </w:rPr>
        <w:t>Costs</w:t>
      </w:r>
    </w:p>
    <w:p w:rsidR="0086724A" w:rsidRPr="006B2410" w:rsidRDefault="005E15DC" w:rsidP="003D1FED">
      <w:pPr>
        <w:spacing w:after="0" w:line="360" w:lineRule="auto"/>
        <w:ind w:firstLine="720"/>
        <w:jc w:val="both"/>
        <w:rPr>
          <w:rFonts w:ascii="Times New Roman" w:hAnsi="Times New Roman" w:cs="Times New Roman"/>
          <w:sz w:val="24"/>
          <w:szCs w:val="24"/>
        </w:rPr>
      </w:pPr>
      <w:r w:rsidRPr="006B2410">
        <w:rPr>
          <w:rFonts w:ascii="Times New Roman" w:hAnsi="Times New Roman" w:cs="Times New Roman"/>
          <w:sz w:val="24"/>
          <w:szCs w:val="24"/>
        </w:rPr>
        <w:lastRenderedPageBreak/>
        <w:t xml:space="preserve">The appellant succeeded on appeal on the issue of deemed </w:t>
      </w:r>
      <w:r w:rsidR="00D10877" w:rsidRPr="006B2410">
        <w:rPr>
          <w:rFonts w:ascii="Times New Roman" w:hAnsi="Times New Roman" w:cs="Times New Roman"/>
          <w:sz w:val="24"/>
          <w:szCs w:val="24"/>
        </w:rPr>
        <w:t>interest and understatement of inco</w:t>
      </w:r>
      <w:r w:rsidR="00005F2B">
        <w:rPr>
          <w:rFonts w:ascii="Times New Roman" w:hAnsi="Times New Roman" w:cs="Times New Roman"/>
          <w:sz w:val="24"/>
          <w:szCs w:val="24"/>
        </w:rPr>
        <w:t xml:space="preserve">me arising from Invoice </w:t>
      </w:r>
      <w:r w:rsidR="00E00D6E" w:rsidRPr="006B2410">
        <w:rPr>
          <w:rFonts w:ascii="Times New Roman" w:hAnsi="Times New Roman" w:cs="Times New Roman"/>
          <w:sz w:val="24"/>
          <w:szCs w:val="24"/>
        </w:rPr>
        <w:t>8 and 9</w:t>
      </w:r>
      <w:r w:rsidR="00D10877" w:rsidRPr="006B2410">
        <w:rPr>
          <w:rFonts w:ascii="Times New Roman" w:hAnsi="Times New Roman" w:cs="Times New Roman"/>
          <w:sz w:val="24"/>
          <w:szCs w:val="24"/>
        </w:rPr>
        <w:t xml:space="preserve"> in t</w:t>
      </w:r>
      <w:r w:rsidR="00005F2B">
        <w:rPr>
          <w:rFonts w:ascii="Times New Roman" w:hAnsi="Times New Roman" w:cs="Times New Roman"/>
          <w:sz w:val="24"/>
          <w:szCs w:val="24"/>
        </w:rPr>
        <w:t>he aggregate sum of US$2m</w:t>
      </w:r>
      <w:r w:rsidR="00D10877" w:rsidRPr="006B2410">
        <w:rPr>
          <w:rFonts w:ascii="Times New Roman" w:hAnsi="Times New Roman" w:cs="Times New Roman"/>
          <w:sz w:val="24"/>
          <w:szCs w:val="24"/>
        </w:rPr>
        <w:t xml:space="preserve"> in respect of the 2011 tax year.</w:t>
      </w:r>
      <w:r w:rsidRPr="006B2410">
        <w:rPr>
          <w:rFonts w:ascii="Times New Roman" w:hAnsi="Times New Roman" w:cs="Times New Roman"/>
          <w:sz w:val="24"/>
          <w:szCs w:val="24"/>
        </w:rPr>
        <w:t xml:space="preserve"> There were other issues</w:t>
      </w:r>
      <w:r w:rsidR="00901586" w:rsidRPr="006B2410">
        <w:rPr>
          <w:rFonts w:ascii="Times New Roman" w:hAnsi="Times New Roman" w:cs="Times New Roman"/>
          <w:sz w:val="24"/>
          <w:szCs w:val="24"/>
        </w:rPr>
        <w:t xml:space="preserve"> raised in the second appeal involving the use by the respondent of the appellant’s 2013 net profit before tax figure instead of the 2014 figure to compute</w:t>
      </w:r>
      <w:r w:rsidR="00E00D6E" w:rsidRPr="006B2410">
        <w:rPr>
          <w:rFonts w:ascii="Times New Roman" w:hAnsi="Times New Roman" w:cs="Times New Roman"/>
          <w:sz w:val="24"/>
          <w:szCs w:val="24"/>
        </w:rPr>
        <w:t xml:space="preserve"> the 2014 income tax liability</w:t>
      </w:r>
      <w:r w:rsidR="00901586" w:rsidRPr="006B2410">
        <w:rPr>
          <w:rFonts w:ascii="Times New Roman" w:hAnsi="Times New Roman" w:cs="Times New Roman"/>
          <w:sz w:val="24"/>
          <w:szCs w:val="24"/>
        </w:rPr>
        <w:t xml:space="preserve"> and the disallowance of the wear and tear allowance of US$ 1 163 432, which respondent conceded were deductible </w:t>
      </w:r>
      <w:r w:rsidR="00E00D6E" w:rsidRPr="006B2410">
        <w:rPr>
          <w:rFonts w:ascii="Times New Roman" w:hAnsi="Times New Roman" w:cs="Times New Roman"/>
          <w:sz w:val="24"/>
          <w:szCs w:val="24"/>
        </w:rPr>
        <w:t xml:space="preserve">and </w:t>
      </w:r>
      <w:r w:rsidR="00901586" w:rsidRPr="006B2410">
        <w:rPr>
          <w:rFonts w:ascii="Times New Roman" w:hAnsi="Times New Roman" w:cs="Times New Roman"/>
          <w:sz w:val="24"/>
          <w:szCs w:val="24"/>
        </w:rPr>
        <w:t xml:space="preserve">which the respondent would have to incorporate </w:t>
      </w:r>
      <w:r w:rsidR="00DF5D55" w:rsidRPr="006B2410">
        <w:rPr>
          <w:rFonts w:ascii="Times New Roman" w:hAnsi="Times New Roman" w:cs="Times New Roman"/>
          <w:sz w:val="24"/>
          <w:szCs w:val="24"/>
        </w:rPr>
        <w:t>in the further amended assessments that will result from my decision on this appeal.</w:t>
      </w:r>
      <w:r w:rsidR="00901586" w:rsidRPr="006B2410">
        <w:rPr>
          <w:rFonts w:ascii="Times New Roman" w:hAnsi="Times New Roman" w:cs="Times New Roman"/>
          <w:sz w:val="24"/>
          <w:szCs w:val="24"/>
        </w:rPr>
        <w:t xml:space="preserve"> </w:t>
      </w:r>
      <w:r w:rsidR="00061BF7" w:rsidRPr="006B2410">
        <w:rPr>
          <w:rFonts w:ascii="Times New Roman" w:hAnsi="Times New Roman" w:cs="Times New Roman"/>
          <w:sz w:val="24"/>
          <w:szCs w:val="24"/>
        </w:rPr>
        <w:t xml:space="preserve"> It is on the basis of </w:t>
      </w:r>
      <w:r w:rsidR="00F314A8" w:rsidRPr="006B2410">
        <w:rPr>
          <w:rFonts w:ascii="Times New Roman" w:hAnsi="Times New Roman" w:cs="Times New Roman"/>
          <w:sz w:val="24"/>
          <w:szCs w:val="24"/>
        </w:rPr>
        <w:t>these limited success</w:t>
      </w:r>
      <w:r w:rsidR="00E00D6E" w:rsidRPr="006B2410">
        <w:rPr>
          <w:rFonts w:ascii="Times New Roman" w:hAnsi="Times New Roman" w:cs="Times New Roman"/>
          <w:sz w:val="24"/>
          <w:szCs w:val="24"/>
        </w:rPr>
        <w:t>es</w:t>
      </w:r>
      <w:r w:rsidR="00F314A8" w:rsidRPr="006B2410">
        <w:rPr>
          <w:rFonts w:ascii="Times New Roman" w:hAnsi="Times New Roman" w:cs="Times New Roman"/>
          <w:sz w:val="24"/>
          <w:szCs w:val="24"/>
        </w:rPr>
        <w:t xml:space="preserve"> that I have decided against making an adverse order of costs against the appellant. I will order each party to bear its own costs.</w:t>
      </w:r>
    </w:p>
    <w:p w:rsidR="00F314A8" w:rsidRPr="006B2410" w:rsidRDefault="00F314A8" w:rsidP="003D1FED">
      <w:pPr>
        <w:spacing w:after="0" w:line="360" w:lineRule="auto"/>
        <w:jc w:val="both"/>
        <w:rPr>
          <w:rFonts w:ascii="Times New Roman" w:hAnsi="Times New Roman" w:cs="Times New Roman"/>
          <w:sz w:val="24"/>
          <w:szCs w:val="24"/>
          <w:u w:val="single"/>
        </w:rPr>
      </w:pPr>
      <w:r w:rsidRPr="006B2410">
        <w:rPr>
          <w:rFonts w:ascii="Times New Roman" w:hAnsi="Times New Roman" w:cs="Times New Roman"/>
          <w:sz w:val="24"/>
          <w:szCs w:val="24"/>
          <w:u w:val="single"/>
        </w:rPr>
        <w:t>Disposition</w:t>
      </w:r>
    </w:p>
    <w:p w:rsidR="00F314A8" w:rsidRPr="006B2410" w:rsidRDefault="00D756EA" w:rsidP="003D1FED">
      <w:pPr>
        <w:spacing w:after="0" w:line="360" w:lineRule="auto"/>
        <w:ind w:firstLine="360"/>
        <w:jc w:val="both"/>
        <w:rPr>
          <w:rFonts w:ascii="Times New Roman" w:hAnsi="Times New Roman" w:cs="Times New Roman"/>
          <w:sz w:val="24"/>
          <w:szCs w:val="24"/>
        </w:rPr>
      </w:pPr>
      <w:r w:rsidRPr="006B2410">
        <w:rPr>
          <w:rFonts w:ascii="Times New Roman" w:hAnsi="Times New Roman" w:cs="Times New Roman"/>
          <w:sz w:val="24"/>
          <w:szCs w:val="24"/>
        </w:rPr>
        <w:t>Accordingly, it is ordered that:</w:t>
      </w:r>
    </w:p>
    <w:p w:rsidR="00D756EA" w:rsidRPr="006B2410" w:rsidRDefault="00D756EA" w:rsidP="003D1FED">
      <w:pPr>
        <w:pStyle w:val="ListParagraph"/>
        <w:numPr>
          <w:ilvl w:val="0"/>
          <w:numId w:val="13"/>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The amended manual noti</w:t>
      </w:r>
      <w:r w:rsidR="00E174DD" w:rsidRPr="006B2410">
        <w:rPr>
          <w:rFonts w:ascii="Times New Roman" w:hAnsi="Times New Roman" w:cs="Times New Roman"/>
          <w:sz w:val="24"/>
          <w:szCs w:val="24"/>
        </w:rPr>
        <w:t>ces of assessment for income tax number</w:t>
      </w:r>
      <w:r w:rsidRPr="006B2410">
        <w:rPr>
          <w:rFonts w:ascii="Times New Roman" w:hAnsi="Times New Roman" w:cs="Times New Roman"/>
          <w:sz w:val="24"/>
          <w:szCs w:val="24"/>
        </w:rPr>
        <w:t xml:space="preserve"> 20</w:t>
      </w:r>
      <w:r w:rsidR="00E174DD" w:rsidRPr="006B2410">
        <w:rPr>
          <w:rFonts w:ascii="Times New Roman" w:hAnsi="Times New Roman" w:cs="Times New Roman"/>
          <w:sz w:val="24"/>
          <w:szCs w:val="24"/>
        </w:rPr>
        <w:t>330668 for the 2011 tax year, 20330669  for the 2012 tax year, 20330672 for the 2013 tax year and 496425</w:t>
      </w:r>
      <w:r w:rsidR="001E2C32" w:rsidRPr="006B2410">
        <w:rPr>
          <w:rFonts w:ascii="Times New Roman" w:hAnsi="Times New Roman" w:cs="Times New Roman"/>
          <w:sz w:val="24"/>
          <w:szCs w:val="24"/>
        </w:rPr>
        <w:t xml:space="preserve"> for the 2014 tax year</w:t>
      </w:r>
      <w:r w:rsidR="00E174DD" w:rsidRPr="006B2410">
        <w:rPr>
          <w:rFonts w:ascii="Times New Roman" w:hAnsi="Times New Roman" w:cs="Times New Roman"/>
          <w:sz w:val="24"/>
          <w:szCs w:val="24"/>
        </w:rPr>
        <w:t xml:space="preserve"> issued on  24 June 2016 by the respondent against the appellant are set side. </w:t>
      </w:r>
    </w:p>
    <w:p w:rsidR="008578EF" w:rsidRPr="006B2410" w:rsidRDefault="00E174DD" w:rsidP="003D1FED">
      <w:pPr>
        <w:pStyle w:val="ListParagraph"/>
        <w:numPr>
          <w:ilvl w:val="0"/>
          <w:numId w:val="13"/>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The Commissioner shall issue further amended manual notices of assessment f</w:t>
      </w:r>
      <w:r w:rsidR="00F7583D" w:rsidRPr="006B2410">
        <w:rPr>
          <w:rFonts w:ascii="Times New Roman" w:hAnsi="Times New Roman" w:cs="Times New Roman"/>
          <w:sz w:val="24"/>
          <w:szCs w:val="24"/>
        </w:rPr>
        <w:t>or income tax to</w:t>
      </w:r>
      <w:r w:rsidRPr="006B2410">
        <w:rPr>
          <w:rFonts w:ascii="Times New Roman" w:hAnsi="Times New Roman" w:cs="Times New Roman"/>
          <w:sz w:val="24"/>
          <w:szCs w:val="24"/>
        </w:rPr>
        <w:t xml:space="preserve"> the appellant</w:t>
      </w:r>
      <w:r w:rsidR="0076697F">
        <w:rPr>
          <w:rFonts w:ascii="Times New Roman" w:hAnsi="Times New Roman" w:cs="Times New Roman"/>
          <w:sz w:val="24"/>
          <w:szCs w:val="24"/>
        </w:rPr>
        <w:t xml:space="preserve"> in respect of each of the four years</w:t>
      </w:r>
      <w:r w:rsidRPr="006B2410">
        <w:rPr>
          <w:rFonts w:ascii="Times New Roman" w:hAnsi="Times New Roman" w:cs="Times New Roman"/>
          <w:sz w:val="24"/>
          <w:szCs w:val="24"/>
        </w:rPr>
        <w:t>, which incorporate my findings in this judgment and shall specifically:</w:t>
      </w:r>
    </w:p>
    <w:p w:rsidR="008578EF" w:rsidRPr="006B2410" w:rsidRDefault="005F1584" w:rsidP="003D1FED">
      <w:pPr>
        <w:pStyle w:val="ListParagraph"/>
        <w:numPr>
          <w:ilvl w:val="0"/>
          <w:numId w:val="16"/>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 xml:space="preserve">Add back </w:t>
      </w:r>
      <w:r w:rsidR="008578EF" w:rsidRPr="006B2410">
        <w:rPr>
          <w:rFonts w:ascii="Times New Roman" w:hAnsi="Times New Roman" w:cs="Times New Roman"/>
          <w:sz w:val="24"/>
          <w:szCs w:val="24"/>
        </w:rPr>
        <w:t xml:space="preserve">to the appellant’s income the sum of </w:t>
      </w:r>
      <w:r w:rsidRPr="006B2410">
        <w:rPr>
          <w:rFonts w:ascii="Times New Roman" w:hAnsi="Times New Roman" w:cs="Times New Roman"/>
          <w:sz w:val="24"/>
          <w:szCs w:val="24"/>
        </w:rPr>
        <w:t>US$ 24 752 222</w:t>
      </w:r>
      <w:r w:rsidR="008578EF" w:rsidRPr="006B2410">
        <w:rPr>
          <w:rFonts w:ascii="Times New Roman" w:hAnsi="Times New Roman" w:cs="Times New Roman"/>
          <w:sz w:val="24"/>
          <w:szCs w:val="24"/>
        </w:rPr>
        <w:t xml:space="preserve"> to the 2011 tax year, US$ 48 955 073 to the 2012 tax year, US$ 40 876 887 to the 2013 tax year and US$403 481 to the 2014 tax year</w:t>
      </w:r>
      <w:r w:rsidR="008E6841" w:rsidRPr="006B2410">
        <w:rPr>
          <w:rFonts w:ascii="Times New Roman" w:hAnsi="Times New Roman" w:cs="Times New Roman"/>
          <w:sz w:val="24"/>
          <w:szCs w:val="24"/>
        </w:rPr>
        <w:t xml:space="preserve"> in respect of purported s 15 (2) (cc) allowances</w:t>
      </w:r>
      <w:r w:rsidR="008578EF" w:rsidRPr="006B2410">
        <w:rPr>
          <w:rFonts w:ascii="Times New Roman" w:hAnsi="Times New Roman" w:cs="Times New Roman"/>
          <w:sz w:val="24"/>
          <w:szCs w:val="24"/>
        </w:rPr>
        <w:t xml:space="preserve">. </w:t>
      </w:r>
    </w:p>
    <w:p w:rsidR="005F1584" w:rsidRPr="006B2410" w:rsidRDefault="005F1584" w:rsidP="003D1FED">
      <w:pPr>
        <w:pStyle w:val="ListParagraph"/>
        <w:numPr>
          <w:ilvl w:val="0"/>
          <w:numId w:val="16"/>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Deduct management fees up to the limit prescribed in s 16 (1) (r) of the Income Tax Act from the income of the appellant</w:t>
      </w:r>
      <w:r w:rsidR="008578EF" w:rsidRPr="006B2410">
        <w:rPr>
          <w:rFonts w:ascii="Times New Roman" w:hAnsi="Times New Roman" w:cs="Times New Roman"/>
          <w:sz w:val="24"/>
          <w:szCs w:val="24"/>
        </w:rPr>
        <w:t xml:space="preserve"> in respect of each of the four tax years.</w:t>
      </w:r>
    </w:p>
    <w:p w:rsidR="005F1584" w:rsidRPr="006B2410" w:rsidRDefault="005F1584" w:rsidP="003D1FED">
      <w:pPr>
        <w:pStyle w:val="ListParagraph"/>
        <w:numPr>
          <w:ilvl w:val="0"/>
          <w:numId w:val="16"/>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Remit the deemed interest charge imposed in terms of both the Mauritian and South African Double Taxation Agreements</w:t>
      </w:r>
      <w:r w:rsidR="008578EF" w:rsidRPr="006B2410">
        <w:rPr>
          <w:rFonts w:ascii="Times New Roman" w:hAnsi="Times New Roman" w:cs="Times New Roman"/>
          <w:sz w:val="24"/>
          <w:szCs w:val="24"/>
        </w:rPr>
        <w:t xml:space="preserve"> in each of the four tax years.</w:t>
      </w:r>
    </w:p>
    <w:p w:rsidR="005F1584" w:rsidRPr="006B2410" w:rsidRDefault="00D10877" w:rsidP="003D1FED">
      <w:pPr>
        <w:pStyle w:val="ListParagraph"/>
        <w:numPr>
          <w:ilvl w:val="0"/>
          <w:numId w:val="16"/>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Deduct the understatem</w:t>
      </w:r>
      <w:r w:rsidR="00FA3E44" w:rsidRPr="006B2410">
        <w:rPr>
          <w:rFonts w:ascii="Times New Roman" w:hAnsi="Times New Roman" w:cs="Times New Roman"/>
          <w:sz w:val="24"/>
          <w:szCs w:val="24"/>
        </w:rPr>
        <w:t>ent of income in the sum of US$2m</w:t>
      </w:r>
      <w:r w:rsidR="008578EF" w:rsidRPr="006B2410">
        <w:rPr>
          <w:rFonts w:ascii="Times New Roman" w:hAnsi="Times New Roman" w:cs="Times New Roman"/>
          <w:sz w:val="24"/>
          <w:szCs w:val="24"/>
        </w:rPr>
        <w:t xml:space="preserve"> from the 2011 tax year</w:t>
      </w:r>
      <w:r w:rsidR="00475EA0" w:rsidRPr="006B2410">
        <w:rPr>
          <w:rFonts w:ascii="Times New Roman" w:hAnsi="Times New Roman" w:cs="Times New Roman"/>
          <w:sz w:val="24"/>
          <w:szCs w:val="24"/>
        </w:rPr>
        <w:t>.</w:t>
      </w:r>
    </w:p>
    <w:p w:rsidR="00C918F3" w:rsidRPr="006B2410" w:rsidRDefault="00BD0B6E" w:rsidP="003D1FED">
      <w:pPr>
        <w:pStyle w:val="ListParagraph"/>
        <w:numPr>
          <w:ilvl w:val="0"/>
          <w:numId w:val="16"/>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 xml:space="preserve">Deduct the amounts in respect of Internal Hire, Minor Purchases, Accruals or Intersite, General </w:t>
      </w:r>
      <w:r w:rsidR="00E2657F" w:rsidRPr="006B2410">
        <w:rPr>
          <w:rFonts w:ascii="Times New Roman" w:hAnsi="Times New Roman" w:cs="Times New Roman"/>
          <w:sz w:val="24"/>
          <w:szCs w:val="24"/>
        </w:rPr>
        <w:t xml:space="preserve">Internal </w:t>
      </w:r>
      <w:r w:rsidRPr="006B2410">
        <w:rPr>
          <w:rFonts w:ascii="Times New Roman" w:hAnsi="Times New Roman" w:cs="Times New Roman"/>
          <w:sz w:val="24"/>
          <w:szCs w:val="24"/>
        </w:rPr>
        <w:t>Labour, Single Quarters, Survey Equipment and Sundry Expenses and Car Junction</w:t>
      </w:r>
      <w:r w:rsidR="00AD2A1C" w:rsidRPr="006B2410">
        <w:rPr>
          <w:rFonts w:ascii="Times New Roman" w:hAnsi="Times New Roman" w:cs="Times New Roman"/>
          <w:sz w:val="24"/>
          <w:szCs w:val="24"/>
        </w:rPr>
        <w:t xml:space="preserve"> in</w:t>
      </w:r>
      <w:r w:rsidR="00E2657F" w:rsidRPr="006B2410">
        <w:rPr>
          <w:rFonts w:ascii="Times New Roman" w:hAnsi="Times New Roman" w:cs="Times New Roman"/>
          <w:sz w:val="24"/>
          <w:szCs w:val="24"/>
        </w:rPr>
        <w:t xml:space="preserve"> the affected tax years.</w:t>
      </w:r>
    </w:p>
    <w:p w:rsidR="00061BF7" w:rsidRPr="006B2410" w:rsidRDefault="00D7168C" w:rsidP="003D1FED">
      <w:pPr>
        <w:pStyle w:val="ListParagraph"/>
        <w:numPr>
          <w:ilvl w:val="0"/>
          <w:numId w:val="16"/>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 xml:space="preserve">Add back </w:t>
      </w:r>
      <w:r w:rsidR="00061BF7" w:rsidRPr="006B2410">
        <w:rPr>
          <w:rFonts w:ascii="Times New Roman" w:hAnsi="Times New Roman" w:cs="Times New Roman"/>
          <w:sz w:val="24"/>
          <w:szCs w:val="24"/>
        </w:rPr>
        <w:t xml:space="preserve">to the income of the appellant </w:t>
      </w:r>
      <w:r w:rsidRPr="006B2410">
        <w:rPr>
          <w:rFonts w:ascii="Times New Roman" w:hAnsi="Times New Roman" w:cs="Times New Roman"/>
          <w:sz w:val="24"/>
          <w:szCs w:val="24"/>
        </w:rPr>
        <w:t xml:space="preserve">the sum of US$234 </w:t>
      </w:r>
      <w:r w:rsidR="00061BF7" w:rsidRPr="006B2410">
        <w:rPr>
          <w:rFonts w:ascii="Times New Roman" w:hAnsi="Times New Roman" w:cs="Times New Roman"/>
          <w:sz w:val="24"/>
          <w:szCs w:val="24"/>
        </w:rPr>
        <w:t>818.86 to the 2011 tax year and US$ 29 740 to the 2013 tax year</w:t>
      </w:r>
      <w:r w:rsidR="00A643F6" w:rsidRPr="006B2410">
        <w:rPr>
          <w:rFonts w:ascii="Times New Roman" w:hAnsi="Times New Roman" w:cs="Times New Roman"/>
          <w:sz w:val="24"/>
          <w:szCs w:val="24"/>
        </w:rPr>
        <w:t xml:space="preserve"> in respect of foreign exchange gains</w:t>
      </w:r>
      <w:r w:rsidR="003749C8" w:rsidRPr="006B2410">
        <w:rPr>
          <w:rFonts w:ascii="Times New Roman" w:hAnsi="Times New Roman" w:cs="Times New Roman"/>
          <w:sz w:val="24"/>
          <w:szCs w:val="24"/>
        </w:rPr>
        <w:t>.</w:t>
      </w:r>
    </w:p>
    <w:p w:rsidR="00E2657F" w:rsidRPr="006B2410" w:rsidRDefault="00C918F3" w:rsidP="003D1FED">
      <w:pPr>
        <w:pStyle w:val="ListParagraph"/>
        <w:numPr>
          <w:ilvl w:val="0"/>
          <w:numId w:val="16"/>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lastRenderedPageBreak/>
        <w:t xml:space="preserve">Amend </w:t>
      </w:r>
      <w:r w:rsidR="003749C8" w:rsidRPr="006B2410">
        <w:rPr>
          <w:rFonts w:ascii="Times New Roman" w:hAnsi="Times New Roman" w:cs="Times New Roman"/>
          <w:sz w:val="24"/>
          <w:szCs w:val="24"/>
        </w:rPr>
        <w:t>the appellant’s net profit before tax figure for computing the 2014 tax year to the amount indicated in the financial statements to the year ending 30 June 2015.</w:t>
      </w:r>
    </w:p>
    <w:p w:rsidR="0067319E" w:rsidRPr="006B2410" w:rsidRDefault="0067319E" w:rsidP="003D1FED">
      <w:pPr>
        <w:pStyle w:val="ListParagraph"/>
        <w:numPr>
          <w:ilvl w:val="0"/>
          <w:numId w:val="16"/>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Allow the full wear and tear allowance claimed by the appellant in respect of the 2014 tax year of US$ 1 861 370.</w:t>
      </w:r>
    </w:p>
    <w:p w:rsidR="00565FB0" w:rsidRPr="006B2410" w:rsidRDefault="00565FB0" w:rsidP="003D1FED">
      <w:pPr>
        <w:pStyle w:val="ListParagraph"/>
        <w:numPr>
          <w:ilvl w:val="0"/>
          <w:numId w:val="16"/>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 xml:space="preserve">Disallow the deduction of US$268 738 </w:t>
      </w:r>
      <w:r w:rsidR="00AD2A1C" w:rsidRPr="006B2410">
        <w:rPr>
          <w:rFonts w:ascii="Times New Roman" w:hAnsi="Times New Roman" w:cs="Times New Roman"/>
          <w:sz w:val="24"/>
          <w:szCs w:val="24"/>
        </w:rPr>
        <w:t xml:space="preserve">purported to be </w:t>
      </w:r>
      <w:r w:rsidRPr="006B2410">
        <w:rPr>
          <w:rFonts w:ascii="Times New Roman" w:hAnsi="Times New Roman" w:cs="Times New Roman"/>
          <w:sz w:val="24"/>
          <w:szCs w:val="24"/>
        </w:rPr>
        <w:t>in respect of fair value gai</w:t>
      </w:r>
      <w:r w:rsidR="00EE7E6F" w:rsidRPr="006B2410">
        <w:rPr>
          <w:rFonts w:ascii="Times New Roman" w:hAnsi="Times New Roman" w:cs="Times New Roman"/>
          <w:sz w:val="24"/>
          <w:szCs w:val="24"/>
        </w:rPr>
        <w:t>n of the long term receivable from</w:t>
      </w:r>
      <w:r w:rsidRPr="006B2410">
        <w:rPr>
          <w:rFonts w:ascii="Times New Roman" w:hAnsi="Times New Roman" w:cs="Times New Roman"/>
          <w:sz w:val="24"/>
          <w:szCs w:val="24"/>
        </w:rPr>
        <w:t xml:space="preserve"> the 2014 tax year. </w:t>
      </w:r>
    </w:p>
    <w:p w:rsidR="0067319E" w:rsidRPr="006B2410" w:rsidRDefault="0067319E" w:rsidP="003D1FED">
      <w:pPr>
        <w:pStyle w:val="ListParagraph"/>
        <w:numPr>
          <w:ilvl w:val="0"/>
          <w:numId w:val="16"/>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Disallow the expenditure of a</w:t>
      </w:r>
      <w:r w:rsidR="00EE7E6F" w:rsidRPr="006B2410">
        <w:rPr>
          <w:rFonts w:ascii="Times New Roman" w:hAnsi="Times New Roman" w:cs="Times New Roman"/>
          <w:sz w:val="24"/>
          <w:szCs w:val="24"/>
        </w:rPr>
        <w:t xml:space="preserve"> capital nature of US$ 17 647 from</w:t>
      </w:r>
      <w:r w:rsidRPr="006B2410">
        <w:rPr>
          <w:rFonts w:ascii="Times New Roman" w:hAnsi="Times New Roman" w:cs="Times New Roman"/>
          <w:sz w:val="24"/>
          <w:szCs w:val="24"/>
        </w:rPr>
        <w:t xml:space="preserve"> the 2014 tax year. </w:t>
      </w:r>
    </w:p>
    <w:p w:rsidR="008E6841" w:rsidRPr="006B2410" w:rsidRDefault="008E6841" w:rsidP="003D1FED">
      <w:pPr>
        <w:pStyle w:val="ListParagraph"/>
        <w:numPr>
          <w:ilvl w:val="0"/>
          <w:numId w:val="16"/>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 xml:space="preserve">Impose penalties of 100% on </w:t>
      </w:r>
      <w:r w:rsidR="00EE7E6F" w:rsidRPr="006B2410">
        <w:rPr>
          <w:rFonts w:ascii="Times New Roman" w:hAnsi="Times New Roman" w:cs="Times New Roman"/>
          <w:sz w:val="24"/>
          <w:szCs w:val="24"/>
        </w:rPr>
        <w:t xml:space="preserve">the </w:t>
      </w:r>
      <w:r w:rsidRPr="006B2410">
        <w:rPr>
          <w:rFonts w:ascii="Times New Roman" w:hAnsi="Times New Roman" w:cs="Times New Roman"/>
          <w:sz w:val="24"/>
          <w:szCs w:val="24"/>
        </w:rPr>
        <w:t xml:space="preserve">tax charged in respect of the amounts added back in </w:t>
      </w:r>
      <w:r w:rsidR="008F5A93" w:rsidRPr="006B2410">
        <w:rPr>
          <w:rFonts w:ascii="Times New Roman" w:hAnsi="Times New Roman" w:cs="Times New Roman"/>
          <w:sz w:val="24"/>
          <w:szCs w:val="24"/>
        </w:rPr>
        <w:t xml:space="preserve">respect of the purported s 15 (2) (cc) </w:t>
      </w:r>
      <w:r w:rsidR="00382A16" w:rsidRPr="006B2410">
        <w:rPr>
          <w:rFonts w:ascii="Times New Roman" w:hAnsi="Times New Roman" w:cs="Times New Roman"/>
          <w:sz w:val="24"/>
          <w:szCs w:val="24"/>
        </w:rPr>
        <w:t xml:space="preserve">allowances and the </w:t>
      </w:r>
      <w:r w:rsidR="008F5A93" w:rsidRPr="006B2410">
        <w:rPr>
          <w:rFonts w:ascii="Times New Roman" w:hAnsi="Times New Roman" w:cs="Times New Roman"/>
          <w:sz w:val="24"/>
          <w:szCs w:val="24"/>
        </w:rPr>
        <w:t>excess management fees claimed above the limit specified in s 16 (1) (r) of the Act</w:t>
      </w:r>
      <w:r w:rsidR="00382A16" w:rsidRPr="006B2410">
        <w:rPr>
          <w:rFonts w:ascii="Times New Roman" w:hAnsi="Times New Roman" w:cs="Times New Roman"/>
          <w:sz w:val="24"/>
          <w:szCs w:val="24"/>
        </w:rPr>
        <w:t xml:space="preserve"> in each of the four tax </w:t>
      </w:r>
      <w:r w:rsidR="00772C27" w:rsidRPr="006B2410">
        <w:rPr>
          <w:rFonts w:ascii="Times New Roman" w:hAnsi="Times New Roman" w:cs="Times New Roman"/>
          <w:sz w:val="24"/>
          <w:szCs w:val="24"/>
        </w:rPr>
        <w:t>years,</w:t>
      </w:r>
      <w:r w:rsidR="008F5A93" w:rsidRPr="006B2410">
        <w:rPr>
          <w:rFonts w:ascii="Times New Roman" w:hAnsi="Times New Roman" w:cs="Times New Roman"/>
          <w:sz w:val="24"/>
          <w:szCs w:val="24"/>
        </w:rPr>
        <w:t xml:space="preserve"> the foreign exchange gains added back to the </w:t>
      </w:r>
      <w:r w:rsidR="00F7583D" w:rsidRPr="006B2410">
        <w:rPr>
          <w:rFonts w:ascii="Times New Roman" w:hAnsi="Times New Roman" w:cs="Times New Roman"/>
          <w:sz w:val="24"/>
          <w:szCs w:val="24"/>
        </w:rPr>
        <w:t xml:space="preserve">income for the </w:t>
      </w:r>
      <w:r w:rsidR="008F5A93" w:rsidRPr="006B2410">
        <w:rPr>
          <w:rFonts w:ascii="Times New Roman" w:hAnsi="Times New Roman" w:cs="Times New Roman"/>
          <w:sz w:val="24"/>
          <w:szCs w:val="24"/>
        </w:rPr>
        <w:t xml:space="preserve">2011 and 2013 tax years </w:t>
      </w:r>
      <w:r w:rsidR="00ED0F66" w:rsidRPr="006B2410">
        <w:rPr>
          <w:rFonts w:ascii="Times New Roman" w:hAnsi="Times New Roman" w:cs="Times New Roman"/>
          <w:sz w:val="24"/>
          <w:szCs w:val="24"/>
        </w:rPr>
        <w:t>and on</w:t>
      </w:r>
      <w:r w:rsidR="00382A16" w:rsidRPr="006B2410">
        <w:rPr>
          <w:rFonts w:ascii="Times New Roman" w:hAnsi="Times New Roman" w:cs="Times New Roman"/>
          <w:sz w:val="24"/>
          <w:szCs w:val="24"/>
        </w:rPr>
        <w:t xml:space="preserve"> the fair value of the long term receivable in respect of the 2014 tax year.</w:t>
      </w:r>
    </w:p>
    <w:p w:rsidR="0002460C" w:rsidRPr="006B2410" w:rsidRDefault="0002460C" w:rsidP="003D1FED">
      <w:pPr>
        <w:pStyle w:val="ListParagraph"/>
        <w:numPr>
          <w:ilvl w:val="0"/>
          <w:numId w:val="13"/>
        </w:numPr>
        <w:spacing w:line="360" w:lineRule="auto"/>
        <w:jc w:val="both"/>
        <w:rPr>
          <w:rFonts w:ascii="Times New Roman" w:hAnsi="Times New Roman" w:cs="Times New Roman"/>
          <w:sz w:val="24"/>
          <w:szCs w:val="24"/>
        </w:rPr>
      </w:pPr>
      <w:r w:rsidRPr="006B2410">
        <w:rPr>
          <w:rFonts w:ascii="Times New Roman" w:hAnsi="Times New Roman" w:cs="Times New Roman"/>
          <w:sz w:val="24"/>
          <w:szCs w:val="24"/>
        </w:rPr>
        <w:t xml:space="preserve">Each party shall bear its own costs. </w:t>
      </w:r>
    </w:p>
    <w:p w:rsidR="0002460C" w:rsidRPr="006B2410" w:rsidRDefault="0002460C" w:rsidP="0002460C">
      <w:pPr>
        <w:jc w:val="both"/>
        <w:rPr>
          <w:rFonts w:ascii="Times New Roman" w:hAnsi="Times New Roman" w:cs="Times New Roman"/>
          <w:sz w:val="24"/>
          <w:szCs w:val="24"/>
        </w:rPr>
      </w:pPr>
    </w:p>
    <w:p w:rsidR="0002460C" w:rsidRPr="006B2410" w:rsidRDefault="0002460C" w:rsidP="0002460C">
      <w:pPr>
        <w:jc w:val="both"/>
        <w:rPr>
          <w:rFonts w:ascii="Times New Roman" w:hAnsi="Times New Roman" w:cs="Times New Roman"/>
          <w:sz w:val="24"/>
          <w:szCs w:val="24"/>
        </w:rPr>
      </w:pPr>
    </w:p>
    <w:p w:rsidR="00810332" w:rsidRPr="006B2410" w:rsidRDefault="0002460C" w:rsidP="005D39FF">
      <w:pPr>
        <w:jc w:val="both"/>
        <w:rPr>
          <w:rFonts w:ascii="Times New Roman" w:hAnsi="Times New Roman" w:cs="Times New Roman"/>
          <w:sz w:val="24"/>
          <w:szCs w:val="24"/>
        </w:rPr>
      </w:pPr>
      <w:r w:rsidRPr="006B2410">
        <w:rPr>
          <w:rFonts w:ascii="Times New Roman" w:hAnsi="Times New Roman" w:cs="Times New Roman"/>
          <w:i/>
          <w:sz w:val="24"/>
          <w:szCs w:val="24"/>
        </w:rPr>
        <w:t>Gill Godlonton and Gerrans</w:t>
      </w:r>
      <w:r w:rsidRPr="006B2410">
        <w:rPr>
          <w:rFonts w:ascii="Times New Roman" w:hAnsi="Times New Roman" w:cs="Times New Roman"/>
          <w:sz w:val="24"/>
          <w:szCs w:val="24"/>
        </w:rPr>
        <w:t>, appellant’s legal practitioners</w:t>
      </w:r>
    </w:p>
    <w:sectPr w:rsidR="00810332" w:rsidRPr="006B24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CA" w:rsidRDefault="001329CA" w:rsidP="00810332">
      <w:pPr>
        <w:spacing w:after="0" w:line="240" w:lineRule="auto"/>
      </w:pPr>
      <w:r>
        <w:separator/>
      </w:r>
    </w:p>
  </w:endnote>
  <w:endnote w:type="continuationSeparator" w:id="0">
    <w:p w:rsidR="001329CA" w:rsidRDefault="001329CA" w:rsidP="0081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CA" w:rsidRDefault="001329CA" w:rsidP="00810332">
      <w:pPr>
        <w:spacing w:after="0" w:line="240" w:lineRule="auto"/>
      </w:pPr>
      <w:r>
        <w:separator/>
      </w:r>
    </w:p>
  </w:footnote>
  <w:footnote w:type="continuationSeparator" w:id="0">
    <w:p w:rsidR="001329CA" w:rsidRDefault="001329CA" w:rsidP="00810332">
      <w:pPr>
        <w:spacing w:after="0" w:line="240" w:lineRule="auto"/>
      </w:pPr>
      <w:r>
        <w:continuationSeparator/>
      </w:r>
    </w:p>
  </w:footnote>
  <w:footnote w:id="1">
    <w:p w:rsidR="00B83865" w:rsidRDefault="00B83865">
      <w:pPr>
        <w:pStyle w:val="FootnoteText"/>
      </w:pPr>
      <w:r>
        <w:rPr>
          <w:rStyle w:val="FootnoteReference"/>
        </w:rPr>
        <w:footnoteRef/>
      </w:r>
      <w:r>
        <w:t xml:space="preserve"> P225 of r 11 documents.</w:t>
      </w:r>
    </w:p>
  </w:footnote>
  <w:footnote w:id="2">
    <w:p w:rsidR="00FE4B13" w:rsidRDefault="00FE4B13">
      <w:pPr>
        <w:pStyle w:val="FootnoteText"/>
      </w:pPr>
      <w:r>
        <w:rPr>
          <w:rStyle w:val="FootnoteReference"/>
        </w:rPr>
        <w:footnoteRef/>
      </w:r>
      <w:r>
        <w:t xml:space="preserve"> P 368 of r 11 documents</w:t>
      </w:r>
    </w:p>
  </w:footnote>
  <w:footnote w:id="3">
    <w:p w:rsidR="00FE4B13" w:rsidRDefault="00FE4B13">
      <w:pPr>
        <w:pStyle w:val="FootnoteText"/>
      </w:pPr>
      <w:r>
        <w:rPr>
          <w:rStyle w:val="FootnoteReference"/>
        </w:rPr>
        <w:footnoteRef/>
      </w:r>
      <w:r>
        <w:t xml:space="preserve"> Pp135 and 148 of r 11 documents, respectively.</w:t>
      </w:r>
    </w:p>
  </w:footnote>
  <w:footnote w:id="4">
    <w:p w:rsidR="009209D6" w:rsidRDefault="009209D6">
      <w:pPr>
        <w:pStyle w:val="FootnoteText"/>
      </w:pPr>
      <w:r>
        <w:rPr>
          <w:rStyle w:val="FootnoteReference"/>
        </w:rPr>
        <w:footnoteRef/>
      </w:r>
      <w:r>
        <w:t xml:space="preserve"> P249-254 of Commissioner’s</w:t>
      </w:r>
      <w:r w:rsidR="00401290">
        <w:t xml:space="preserve"> case and replicated on pp 217-222 of r 11 documents</w:t>
      </w:r>
      <w:r>
        <w:t xml:space="preserve"> </w:t>
      </w:r>
    </w:p>
  </w:footnote>
  <w:footnote w:id="5">
    <w:p w:rsidR="00FE4B13" w:rsidRDefault="00FE4B13">
      <w:pPr>
        <w:pStyle w:val="FootnoteText"/>
      </w:pPr>
      <w:r>
        <w:rPr>
          <w:rStyle w:val="FootnoteReference"/>
        </w:rPr>
        <w:footnoteRef/>
      </w:r>
      <w:r>
        <w:t xml:space="preserve"> P para (l) p 359 and 3</w:t>
      </w:r>
      <w:r w:rsidRPr="003B4148">
        <w:rPr>
          <w:vertAlign w:val="superscript"/>
        </w:rPr>
        <w:t>rd</w:t>
      </w:r>
      <w:r>
        <w:t xml:space="preserve"> para of letter of 19 January 2016 on p209 of r 11 documents </w:t>
      </w:r>
    </w:p>
  </w:footnote>
  <w:footnote w:id="6">
    <w:p w:rsidR="00FE4B13" w:rsidRDefault="00FE4B13">
      <w:pPr>
        <w:pStyle w:val="FootnoteText"/>
      </w:pPr>
      <w:r>
        <w:rPr>
          <w:rStyle w:val="FootnoteReference"/>
        </w:rPr>
        <w:footnoteRef/>
      </w:r>
      <w:r>
        <w:t xml:space="preserve"> P368 and 369 of r 11 documents</w:t>
      </w:r>
    </w:p>
  </w:footnote>
  <w:footnote w:id="7">
    <w:p w:rsidR="00FE4B13" w:rsidRDefault="00FE4B13">
      <w:pPr>
        <w:pStyle w:val="FootnoteText"/>
      </w:pPr>
      <w:r>
        <w:rPr>
          <w:rStyle w:val="FootnoteReference"/>
        </w:rPr>
        <w:footnoteRef/>
      </w:r>
      <w:r>
        <w:t xml:space="preserve"> P 234 of the r 11 documents</w:t>
      </w:r>
    </w:p>
  </w:footnote>
  <w:footnote w:id="8">
    <w:p w:rsidR="00FE4B13" w:rsidRDefault="00FE4B13">
      <w:pPr>
        <w:pStyle w:val="FootnoteText"/>
      </w:pPr>
      <w:r>
        <w:rPr>
          <w:rStyle w:val="FootnoteReference"/>
        </w:rPr>
        <w:footnoteRef/>
      </w:r>
      <w:r>
        <w:t xml:space="preserve"> P 251 of r 11 documents, a letter by the first witness to the respondent dated 9 June 2014 on utilisation of the first disbursement.</w:t>
      </w:r>
    </w:p>
  </w:footnote>
  <w:footnote w:id="9">
    <w:p w:rsidR="00FE4B13" w:rsidRDefault="00FE4B13">
      <w:pPr>
        <w:pStyle w:val="FootnoteText"/>
      </w:pPr>
      <w:r>
        <w:rPr>
          <w:rStyle w:val="FootnoteReference"/>
        </w:rPr>
        <w:footnoteRef/>
      </w:r>
      <w:r>
        <w:t xml:space="preserve"> CEO’s letter of 16 August 2010, </w:t>
      </w:r>
      <w:r w:rsidRPr="00EC0AC1">
        <w:rPr>
          <w:i/>
        </w:rPr>
        <w:t>supra</w:t>
      </w:r>
      <w:r>
        <w:t>.</w:t>
      </w:r>
    </w:p>
  </w:footnote>
  <w:footnote w:id="10">
    <w:p w:rsidR="00FE4B13" w:rsidRDefault="00FE4B13">
      <w:pPr>
        <w:pStyle w:val="FootnoteText"/>
      </w:pPr>
      <w:r>
        <w:rPr>
          <w:rStyle w:val="FootnoteReference"/>
        </w:rPr>
        <w:footnoteRef/>
      </w:r>
      <w:r>
        <w:t xml:space="preserve"> Pp 131-178 of the r11 documents. </w:t>
      </w:r>
    </w:p>
  </w:footnote>
  <w:footnote w:id="11">
    <w:p w:rsidR="00FE4B13" w:rsidRDefault="00FE4B13">
      <w:pPr>
        <w:pStyle w:val="FootnoteText"/>
      </w:pPr>
      <w:r>
        <w:rPr>
          <w:rStyle w:val="FootnoteReference"/>
        </w:rPr>
        <w:footnoteRef/>
      </w:r>
      <w:r>
        <w:t xml:space="preserve">  E-mails on p 375-376 of r 11 documents in reference to the measured progress document on P 143 of r11 documents. </w:t>
      </w:r>
    </w:p>
  </w:footnote>
  <w:footnote w:id="12">
    <w:p w:rsidR="00CE1F5E" w:rsidRDefault="00CE1F5E">
      <w:pPr>
        <w:pStyle w:val="FootnoteText"/>
      </w:pPr>
      <w:r>
        <w:rPr>
          <w:rStyle w:val="FootnoteReference"/>
        </w:rPr>
        <w:footnoteRef/>
      </w:r>
      <w:r>
        <w:t xml:space="preserve"> The aggregate loan balances were US$ 16 699 399 in 2011, US$ 24 796 255 in 2012, US$ 8 001 117 in 2013 and US$24 409 000 in 2014 on p 195 </w:t>
      </w:r>
      <w:r w:rsidR="00AE065E">
        <w:t>of the 1</w:t>
      </w:r>
      <w:r w:rsidR="00AE065E" w:rsidRPr="00AE065E">
        <w:rPr>
          <w:vertAlign w:val="superscript"/>
        </w:rPr>
        <w:t>st</w:t>
      </w:r>
      <w:r w:rsidR="00AE065E">
        <w:t xml:space="preserve"> </w:t>
      </w:r>
      <w:r w:rsidR="007E43B0">
        <w:t>appeal’s r 11 documents and p 12 of the r 11 documents of the second appeal</w:t>
      </w:r>
    </w:p>
  </w:footnote>
  <w:footnote w:id="13">
    <w:p w:rsidR="00C37C1A" w:rsidRDefault="00C37C1A">
      <w:pPr>
        <w:pStyle w:val="FootnoteText"/>
      </w:pPr>
      <w:r>
        <w:rPr>
          <w:rStyle w:val="FootnoteReference"/>
        </w:rPr>
        <w:footnoteRef/>
      </w:r>
      <w:r>
        <w:t xml:space="preserve"> </w:t>
      </w:r>
      <w:r w:rsidRPr="00705E96">
        <w:rPr>
          <w:i/>
        </w:rPr>
        <w:t xml:space="preserve">Silke: South African Income Tax </w:t>
      </w:r>
      <w:r>
        <w:t>2015 ed para 2.3.2 at page 20</w:t>
      </w:r>
    </w:p>
  </w:footnote>
  <w:footnote w:id="14">
    <w:p w:rsidR="00740D5B" w:rsidRDefault="00740D5B">
      <w:pPr>
        <w:pStyle w:val="FootnoteText"/>
      </w:pPr>
      <w:r>
        <w:rPr>
          <w:rStyle w:val="FootnoteReference"/>
        </w:rPr>
        <w:footnoteRef/>
      </w:r>
      <w:r>
        <w:t xml:space="preserve"> On pp128-130 of r 11 documents</w:t>
      </w:r>
    </w:p>
  </w:footnote>
  <w:footnote w:id="15">
    <w:p w:rsidR="00A4409B" w:rsidRDefault="00A4409B">
      <w:pPr>
        <w:pStyle w:val="FootnoteText"/>
      </w:pPr>
      <w:r>
        <w:rPr>
          <w:rStyle w:val="FootnoteReference"/>
        </w:rPr>
        <w:footnoteRef/>
      </w:r>
      <w:r>
        <w:t xml:space="preserve"> P 357 and 216 of r 11 documents in the first appeal and p 6 of the r 11 documents in the 2</w:t>
      </w:r>
      <w:r w:rsidRPr="00A4409B">
        <w:rPr>
          <w:vertAlign w:val="superscript"/>
        </w:rPr>
        <w:t>nd</w:t>
      </w:r>
      <w:r>
        <w:t xml:space="preserve"> appeal</w:t>
      </w:r>
    </w:p>
  </w:footnote>
  <w:footnote w:id="16">
    <w:p w:rsidR="00806A57" w:rsidRDefault="00806A57">
      <w:pPr>
        <w:pStyle w:val="FootnoteText"/>
      </w:pPr>
      <w:r>
        <w:rPr>
          <w:rStyle w:val="FootnoteReference"/>
        </w:rPr>
        <w:footnoteRef/>
      </w:r>
      <w:r>
        <w:t xml:space="preserve"> P 357 and 216 of r 11 documents</w:t>
      </w:r>
      <w:r w:rsidR="003C1928">
        <w:t xml:space="preserve"> and paras 91 and 93 of respondent case in the first appeal and 92 of the second appeal, </w:t>
      </w:r>
    </w:p>
  </w:footnote>
  <w:footnote w:id="17">
    <w:p w:rsidR="003712D3" w:rsidRDefault="003712D3">
      <w:pPr>
        <w:pStyle w:val="FootnoteText"/>
      </w:pPr>
      <w:r>
        <w:rPr>
          <w:rStyle w:val="FootnoteReference"/>
        </w:rPr>
        <w:footnoteRef/>
      </w:r>
      <w:r>
        <w:t xml:space="preserve"> Determination of 15 June 2016 p 6 of r 11 documents of the second appeal</w:t>
      </w:r>
    </w:p>
  </w:footnote>
  <w:footnote w:id="18">
    <w:p w:rsidR="004004B4" w:rsidRDefault="003C1928">
      <w:pPr>
        <w:pStyle w:val="FootnoteText"/>
      </w:pPr>
      <w:r>
        <w:rPr>
          <w:rStyle w:val="FootnoteReference"/>
        </w:rPr>
        <w:t xml:space="preserve"> </w:t>
      </w:r>
      <w:r w:rsidR="004004B4">
        <w:t xml:space="preserve"> Para 91 and 93 on pp29 and 30 of the Commissioner’s case in the 1</w:t>
      </w:r>
      <w:r w:rsidR="004004B4" w:rsidRPr="004004B4">
        <w:rPr>
          <w:vertAlign w:val="superscript"/>
        </w:rPr>
        <w:t>st</w:t>
      </w:r>
      <w:r w:rsidR="004004B4">
        <w:t xml:space="preserve"> appeal and para 92 on p 25 of the Commissioner’s case in the 2</w:t>
      </w:r>
      <w:r w:rsidR="004004B4" w:rsidRPr="004004B4">
        <w:rPr>
          <w:vertAlign w:val="superscript"/>
        </w:rPr>
        <w:t>nd</w:t>
      </w:r>
      <w:r w:rsidR="004004B4">
        <w:t xml:space="preserve">  appeal</w:t>
      </w:r>
    </w:p>
  </w:footnote>
  <w:footnote w:id="19">
    <w:p w:rsidR="00623036" w:rsidRDefault="00623036">
      <w:pPr>
        <w:pStyle w:val="FootnoteText"/>
      </w:pPr>
      <w:r>
        <w:rPr>
          <w:rStyle w:val="FootnoteReference"/>
        </w:rPr>
        <w:footnoteRef/>
      </w:r>
      <w:r>
        <w:t xml:space="preserve"> N</w:t>
      </w:r>
      <w:r w:rsidR="00D659EC">
        <w:t xml:space="preserve">ote 1.13  pp316, 319 to </w:t>
      </w:r>
      <w:r>
        <w:t xml:space="preserve"> 2013 accounting policies  and note 1.13 p 289, 295, </w:t>
      </w:r>
      <w:r w:rsidR="00D659EC">
        <w:t xml:space="preserve">to </w:t>
      </w:r>
      <w:r>
        <w:t xml:space="preserve">2014  </w:t>
      </w:r>
      <w:r w:rsidR="00D659EC">
        <w:t>accounting policies I r 11 documents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474559"/>
      <w:docPartObj>
        <w:docPartGallery w:val="Page Numbers (Top of Page)"/>
        <w:docPartUnique/>
      </w:docPartObj>
    </w:sdtPr>
    <w:sdtEndPr>
      <w:rPr>
        <w:rFonts w:ascii="Times New Roman" w:hAnsi="Times New Roman" w:cs="Times New Roman"/>
        <w:noProof/>
        <w:sz w:val="24"/>
        <w:szCs w:val="24"/>
      </w:rPr>
    </w:sdtEndPr>
    <w:sdtContent>
      <w:p w:rsidR="00BC338F" w:rsidRPr="00BC338F" w:rsidRDefault="00BC338F">
        <w:pPr>
          <w:pStyle w:val="Header"/>
          <w:jc w:val="right"/>
          <w:rPr>
            <w:rFonts w:ascii="Times New Roman" w:hAnsi="Times New Roman" w:cs="Times New Roman"/>
            <w:noProof/>
            <w:sz w:val="24"/>
            <w:szCs w:val="24"/>
          </w:rPr>
        </w:pPr>
        <w:r w:rsidRPr="00BC338F">
          <w:rPr>
            <w:rFonts w:ascii="Times New Roman" w:hAnsi="Times New Roman" w:cs="Times New Roman"/>
            <w:sz w:val="24"/>
            <w:szCs w:val="24"/>
          </w:rPr>
          <w:fldChar w:fldCharType="begin"/>
        </w:r>
        <w:r w:rsidRPr="00BC338F">
          <w:rPr>
            <w:rFonts w:ascii="Times New Roman" w:hAnsi="Times New Roman" w:cs="Times New Roman"/>
            <w:sz w:val="24"/>
            <w:szCs w:val="24"/>
          </w:rPr>
          <w:instrText xml:space="preserve"> PAGE   \* MERGEFORMAT </w:instrText>
        </w:r>
        <w:r w:rsidRPr="00BC338F">
          <w:rPr>
            <w:rFonts w:ascii="Times New Roman" w:hAnsi="Times New Roman" w:cs="Times New Roman"/>
            <w:sz w:val="24"/>
            <w:szCs w:val="24"/>
          </w:rPr>
          <w:fldChar w:fldCharType="separate"/>
        </w:r>
        <w:r w:rsidR="003C4685">
          <w:rPr>
            <w:rFonts w:ascii="Times New Roman" w:hAnsi="Times New Roman" w:cs="Times New Roman"/>
            <w:noProof/>
            <w:sz w:val="24"/>
            <w:szCs w:val="24"/>
          </w:rPr>
          <w:t>1</w:t>
        </w:r>
        <w:r w:rsidRPr="00BC338F">
          <w:rPr>
            <w:rFonts w:ascii="Times New Roman" w:hAnsi="Times New Roman" w:cs="Times New Roman"/>
            <w:noProof/>
            <w:sz w:val="24"/>
            <w:szCs w:val="24"/>
          </w:rPr>
          <w:fldChar w:fldCharType="end"/>
        </w:r>
      </w:p>
      <w:p w:rsidR="00BC338F" w:rsidRPr="00BC338F" w:rsidRDefault="00BC338F">
        <w:pPr>
          <w:pStyle w:val="Header"/>
          <w:jc w:val="right"/>
          <w:rPr>
            <w:rFonts w:ascii="Times New Roman" w:hAnsi="Times New Roman" w:cs="Times New Roman"/>
            <w:noProof/>
            <w:sz w:val="24"/>
            <w:szCs w:val="24"/>
          </w:rPr>
        </w:pPr>
        <w:r w:rsidRPr="00BC338F">
          <w:rPr>
            <w:rFonts w:ascii="Times New Roman" w:hAnsi="Times New Roman" w:cs="Times New Roman"/>
            <w:noProof/>
            <w:sz w:val="24"/>
            <w:szCs w:val="24"/>
          </w:rPr>
          <w:t xml:space="preserve">HH </w:t>
        </w:r>
        <w:r>
          <w:rPr>
            <w:rFonts w:ascii="Times New Roman" w:hAnsi="Times New Roman" w:cs="Times New Roman"/>
            <w:noProof/>
            <w:sz w:val="24"/>
            <w:szCs w:val="24"/>
          </w:rPr>
          <w:t>843-19</w:t>
        </w:r>
      </w:p>
      <w:p w:rsidR="00BC338F" w:rsidRPr="00BC338F" w:rsidRDefault="00BC338F">
        <w:pPr>
          <w:pStyle w:val="Header"/>
          <w:jc w:val="right"/>
          <w:rPr>
            <w:rFonts w:ascii="Times New Roman" w:hAnsi="Times New Roman" w:cs="Times New Roman"/>
            <w:sz w:val="24"/>
            <w:szCs w:val="24"/>
          </w:rPr>
        </w:pPr>
        <w:r w:rsidRPr="00BC338F">
          <w:rPr>
            <w:rFonts w:ascii="Times New Roman" w:hAnsi="Times New Roman" w:cs="Times New Roman"/>
            <w:noProof/>
            <w:sz w:val="24"/>
            <w:szCs w:val="24"/>
          </w:rPr>
          <w:t>ITC 4/16 &amp; ITC 10/17</w:t>
        </w:r>
      </w:p>
    </w:sdtContent>
  </w:sdt>
  <w:p w:rsidR="00FE4B13" w:rsidRDefault="00FE4B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576"/>
    <w:multiLevelType w:val="hybridMultilevel"/>
    <w:tmpl w:val="5A1AF1F2"/>
    <w:lvl w:ilvl="0" w:tplc="51A8EB0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95F1FD4"/>
    <w:multiLevelType w:val="hybridMultilevel"/>
    <w:tmpl w:val="BEE25E62"/>
    <w:lvl w:ilvl="0" w:tplc="2E52742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34D2033"/>
    <w:multiLevelType w:val="hybridMultilevel"/>
    <w:tmpl w:val="31DE5D5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7F55551"/>
    <w:multiLevelType w:val="hybridMultilevel"/>
    <w:tmpl w:val="3558CABA"/>
    <w:lvl w:ilvl="0" w:tplc="4970BE7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18231DD5"/>
    <w:multiLevelType w:val="hybridMultilevel"/>
    <w:tmpl w:val="DAD22C2A"/>
    <w:lvl w:ilvl="0" w:tplc="D1DC80A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FFE7C99"/>
    <w:multiLevelType w:val="hybridMultilevel"/>
    <w:tmpl w:val="AC9C8BE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A04201A"/>
    <w:multiLevelType w:val="hybridMultilevel"/>
    <w:tmpl w:val="31DE5D5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C4F1060"/>
    <w:multiLevelType w:val="hybridMultilevel"/>
    <w:tmpl w:val="EEA4A34E"/>
    <w:lvl w:ilvl="0" w:tplc="FF2CF6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31A83DD2"/>
    <w:multiLevelType w:val="hybridMultilevel"/>
    <w:tmpl w:val="31DE5D5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DCC51E5"/>
    <w:multiLevelType w:val="hybridMultilevel"/>
    <w:tmpl w:val="10B67D44"/>
    <w:lvl w:ilvl="0" w:tplc="669A9D6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5C126227"/>
    <w:multiLevelType w:val="hybridMultilevel"/>
    <w:tmpl w:val="E766CD82"/>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E053973"/>
    <w:multiLevelType w:val="hybridMultilevel"/>
    <w:tmpl w:val="064E5F4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5E1A6562"/>
    <w:multiLevelType w:val="hybridMultilevel"/>
    <w:tmpl w:val="31DE5D5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76E45F4E"/>
    <w:multiLevelType w:val="hybridMultilevel"/>
    <w:tmpl w:val="31DE5D5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7ADC0C5F"/>
    <w:multiLevelType w:val="hybridMultilevel"/>
    <w:tmpl w:val="154A2854"/>
    <w:lvl w:ilvl="0" w:tplc="183C2D5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7CC85698"/>
    <w:multiLevelType w:val="hybridMultilevel"/>
    <w:tmpl w:val="31DE5D5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4"/>
  </w:num>
  <w:num w:numId="5">
    <w:abstractNumId w:val="2"/>
  </w:num>
  <w:num w:numId="6">
    <w:abstractNumId w:val="12"/>
  </w:num>
  <w:num w:numId="7">
    <w:abstractNumId w:val="15"/>
  </w:num>
  <w:num w:numId="8">
    <w:abstractNumId w:val="8"/>
  </w:num>
  <w:num w:numId="9">
    <w:abstractNumId w:val="6"/>
  </w:num>
  <w:num w:numId="10">
    <w:abstractNumId w:val="10"/>
  </w:num>
  <w:num w:numId="11">
    <w:abstractNumId w:val="11"/>
  </w:num>
  <w:num w:numId="12">
    <w:abstractNumId w:val="9"/>
  </w:num>
  <w:num w:numId="13">
    <w:abstractNumId w:val="5"/>
  </w:num>
  <w:num w:numId="14">
    <w:abstractNumId w:val="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D4"/>
    <w:rsid w:val="00001E77"/>
    <w:rsid w:val="00005F2B"/>
    <w:rsid w:val="00006481"/>
    <w:rsid w:val="00013159"/>
    <w:rsid w:val="000137FD"/>
    <w:rsid w:val="00014722"/>
    <w:rsid w:val="0001637F"/>
    <w:rsid w:val="0001678E"/>
    <w:rsid w:val="00016DDA"/>
    <w:rsid w:val="00020BD7"/>
    <w:rsid w:val="00023DBF"/>
    <w:rsid w:val="0002460C"/>
    <w:rsid w:val="0002767C"/>
    <w:rsid w:val="000302BA"/>
    <w:rsid w:val="00033840"/>
    <w:rsid w:val="00036276"/>
    <w:rsid w:val="0006151B"/>
    <w:rsid w:val="00061BF7"/>
    <w:rsid w:val="00065077"/>
    <w:rsid w:val="000721A4"/>
    <w:rsid w:val="00083C17"/>
    <w:rsid w:val="00090D2F"/>
    <w:rsid w:val="0009188C"/>
    <w:rsid w:val="000924B2"/>
    <w:rsid w:val="00092B8B"/>
    <w:rsid w:val="00093215"/>
    <w:rsid w:val="00093FE9"/>
    <w:rsid w:val="00094B92"/>
    <w:rsid w:val="00096B44"/>
    <w:rsid w:val="00096DD7"/>
    <w:rsid w:val="000A1EEC"/>
    <w:rsid w:val="000A224B"/>
    <w:rsid w:val="000A3B34"/>
    <w:rsid w:val="000A52CE"/>
    <w:rsid w:val="000A6B71"/>
    <w:rsid w:val="000B0313"/>
    <w:rsid w:val="000B2412"/>
    <w:rsid w:val="000B4BC5"/>
    <w:rsid w:val="000B7643"/>
    <w:rsid w:val="000C2020"/>
    <w:rsid w:val="000D396E"/>
    <w:rsid w:val="000D6709"/>
    <w:rsid w:val="000D6BDD"/>
    <w:rsid w:val="000E0ABE"/>
    <w:rsid w:val="000E36FD"/>
    <w:rsid w:val="000E3EFB"/>
    <w:rsid w:val="000F080A"/>
    <w:rsid w:val="000F4898"/>
    <w:rsid w:val="000F7A64"/>
    <w:rsid w:val="00102F14"/>
    <w:rsid w:val="00104055"/>
    <w:rsid w:val="00111943"/>
    <w:rsid w:val="00111B51"/>
    <w:rsid w:val="0011755D"/>
    <w:rsid w:val="00121E2D"/>
    <w:rsid w:val="00121FDD"/>
    <w:rsid w:val="001329CA"/>
    <w:rsid w:val="00132D01"/>
    <w:rsid w:val="001352B6"/>
    <w:rsid w:val="00141A6A"/>
    <w:rsid w:val="00142C7F"/>
    <w:rsid w:val="00143703"/>
    <w:rsid w:val="00147988"/>
    <w:rsid w:val="00152736"/>
    <w:rsid w:val="00153BE1"/>
    <w:rsid w:val="001606DF"/>
    <w:rsid w:val="00171770"/>
    <w:rsid w:val="00172B4F"/>
    <w:rsid w:val="00174341"/>
    <w:rsid w:val="00175519"/>
    <w:rsid w:val="0017725B"/>
    <w:rsid w:val="001804BA"/>
    <w:rsid w:val="00180E60"/>
    <w:rsid w:val="001818D7"/>
    <w:rsid w:val="00186497"/>
    <w:rsid w:val="00191A19"/>
    <w:rsid w:val="0019259B"/>
    <w:rsid w:val="00194E7B"/>
    <w:rsid w:val="001A48FC"/>
    <w:rsid w:val="001A5494"/>
    <w:rsid w:val="001A6428"/>
    <w:rsid w:val="001A6F15"/>
    <w:rsid w:val="001B138A"/>
    <w:rsid w:val="001B28E3"/>
    <w:rsid w:val="001B2A6A"/>
    <w:rsid w:val="001B3C34"/>
    <w:rsid w:val="001B5E4C"/>
    <w:rsid w:val="001C0DC9"/>
    <w:rsid w:val="001C1228"/>
    <w:rsid w:val="001C154F"/>
    <w:rsid w:val="001C1ADC"/>
    <w:rsid w:val="001C3CD0"/>
    <w:rsid w:val="001C40C0"/>
    <w:rsid w:val="001C4135"/>
    <w:rsid w:val="001C75EE"/>
    <w:rsid w:val="001C7CBB"/>
    <w:rsid w:val="001E1374"/>
    <w:rsid w:val="001E2C32"/>
    <w:rsid w:val="001E5ADC"/>
    <w:rsid w:val="001E6594"/>
    <w:rsid w:val="001F01F4"/>
    <w:rsid w:val="001F4EFF"/>
    <w:rsid w:val="001F5CC2"/>
    <w:rsid w:val="001F664B"/>
    <w:rsid w:val="001F73C4"/>
    <w:rsid w:val="001F7F81"/>
    <w:rsid w:val="002132B5"/>
    <w:rsid w:val="00213C20"/>
    <w:rsid w:val="00216049"/>
    <w:rsid w:val="00222B44"/>
    <w:rsid w:val="0022524B"/>
    <w:rsid w:val="002267C2"/>
    <w:rsid w:val="002334D0"/>
    <w:rsid w:val="00236A0F"/>
    <w:rsid w:val="002441FB"/>
    <w:rsid w:val="00245ED0"/>
    <w:rsid w:val="0024739F"/>
    <w:rsid w:val="00252AC0"/>
    <w:rsid w:val="00252EA3"/>
    <w:rsid w:val="00253D05"/>
    <w:rsid w:val="00253FB1"/>
    <w:rsid w:val="00253FE0"/>
    <w:rsid w:val="002545C9"/>
    <w:rsid w:val="0025604D"/>
    <w:rsid w:val="002560C7"/>
    <w:rsid w:val="00257F5D"/>
    <w:rsid w:val="00266566"/>
    <w:rsid w:val="00266D23"/>
    <w:rsid w:val="002706D2"/>
    <w:rsid w:val="00270991"/>
    <w:rsid w:val="0027327B"/>
    <w:rsid w:val="0027425D"/>
    <w:rsid w:val="00274D93"/>
    <w:rsid w:val="002757F7"/>
    <w:rsid w:val="00276E96"/>
    <w:rsid w:val="002803A7"/>
    <w:rsid w:val="00281DE3"/>
    <w:rsid w:val="00281F19"/>
    <w:rsid w:val="002835B0"/>
    <w:rsid w:val="00283C6B"/>
    <w:rsid w:val="002877EF"/>
    <w:rsid w:val="00287B10"/>
    <w:rsid w:val="00290378"/>
    <w:rsid w:val="00293192"/>
    <w:rsid w:val="0029323C"/>
    <w:rsid w:val="0029721B"/>
    <w:rsid w:val="002A0238"/>
    <w:rsid w:val="002A50CC"/>
    <w:rsid w:val="002A5560"/>
    <w:rsid w:val="002B622E"/>
    <w:rsid w:val="002C7DF2"/>
    <w:rsid w:val="002D7F42"/>
    <w:rsid w:val="002E0B44"/>
    <w:rsid w:val="002E646D"/>
    <w:rsid w:val="002E7F9C"/>
    <w:rsid w:val="002F0BCA"/>
    <w:rsid w:val="002F5500"/>
    <w:rsid w:val="002F5C4C"/>
    <w:rsid w:val="002F7B36"/>
    <w:rsid w:val="00301F79"/>
    <w:rsid w:val="00302A25"/>
    <w:rsid w:val="00303353"/>
    <w:rsid w:val="003040E2"/>
    <w:rsid w:val="00306D05"/>
    <w:rsid w:val="00307DF9"/>
    <w:rsid w:val="0031119A"/>
    <w:rsid w:val="00313F5B"/>
    <w:rsid w:val="00321287"/>
    <w:rsid w:val="003224C2"/>
    <w:rsid w:val="00322AD9"/>
    <w:rsid w:val="00322EA3"/>
    <w:rsid w:val="00323A5F"/>
    <w:rsid w:val="00325650"/>
    <w:rsid w:val="00325A16"/>
    <w:rsid w:val="00325E5B"/>
    <w:rsid w:val="00331D86"/>
    <w:rsid w:val="00334945"/>
    <w:rsid w:val="00336104"/>
    <w:rsid w:val="00343BF8"/>
    <w:rsid w:val="0034436C"/>
    <w:rsid w:val="00354011"/>
    <w:rsid w:val="00354190"/>
    <w:rsid w:val="00355BD4"/>
    <w:rsid w:val="00357A64"/>
    <w:rsid w:val="00361F14"/>
    <w:rsid w:val="00370715"/>
    <w:rsid w:val="003712D3"/>
    <w:rsid w:val="00371E8B"/>
    <w:rsid w:val="00374216"/>
    <w:rsid w:val="00374575"/>
    <w:rsid w:val="003749C8"/>
    <w:rsid w:val="00381999"/>
    <w:rsid w:val="00382A16"/>
    <w:rsid w:val="00386496"/>
    <w:rsid w:val="003916AF"/>
    <w:rsid w:val="003A1624"/>
    <w:rsid w:val="003A1E14"/>
    <w:rsid w:val="003B3935"/>
    <w:rsid w:val="003B4148"/>
    <w:rsid w:val="003C1928"/>
    <w:rsid w:val="003C4685"/>
    <w:rsid w:val="003C55C7"/>
    <w:rsid w:val="003C7870"/>
    <w:rsid w:val="003D1BA4"/>
    <w:rsid w:val="003D1FED"/>
    <w:rsid w:val="003D342A"/>
    <w:rsid w:val="003D54A8"/>
    <w:rsid w:val="003E109B"/>
    <w:rsid w:val="003E1993"/>
    <w:rsid w:val="003E311F"/>
    <w:rsid w:val="003E4577"/>
    <w:rsid w:val="003E490A"/>
    <w:rsid w:val="003F354F"/>
    <w:rsid w:val="003F6177"/>
    <w:rsid w:val="004004B4"/>
    <w:rsid w:val="00401290"/>
    <w:rsid w:val="004016E9"/>
    <w:rsid w:val="0040309F"/>
    <w:rsid w:val="004040D5"/>
    <w:rsid w:val="0040451C"/>
    <w:rsid w:val="00407442"/>
    <w:rsid w:val="004131A3"/>
    <w:rsid w:val="00413541"/>
    <w:rsid w:val="00413814"/>
    <w:rsid w:val="0041502A"/>
    <w:rsid w:val="0041540C"/>
    <w:rsid w:val="00415913"/>
    <w:rsid w:val="00415F40"/>
    <w:rsid w:val="0041749B"/>
    <w:rsid w:val="0042352E"/>
    <w:rsid w:val="00424B27"/>
    <w:rsid w:val="00426C92"/>
    <w:rsid w:val="00430073"/>
    <w:rsid w:val="00430FB8"/>
    <w:rsid w:val="00431EF6"/>
    <w:rsid w:val="004330A0"/>
    <w:rsid w:val="00435571"/>
    <w:rsid w:val="00436AD3"/>
    <w:rsid w:val="00437C0B"/>
    <w:rsid w:val="004425E5"/>
    <w:rsid w:val="0044297C"/>
    <w:rsid w:val="00442C98"/>
    <w:rsid w:val="00444422"/>
    <w:rsid w:val="00446571"/>
    <w:rsid w:val="0044773D"/>
    <w:rsid w:val="0045232F"/>
    <w:rsid w:val="0045563A"/>
    <w:rsid w:val="00457274"/>
    <w:rsid w:val="004638A9"/>
    <w:rsid w:val="00465BB9"/>
    <w:rsid w:val="004661C7"/>
    <w:rsid w:val="004668E0"/>
    <w:rsid w:val="00467A73"/>
    <w:rsid w:val="00475EA0"/>
    <w:rsid w:val="00477E88"/>
    <w:rsid w:val="00480857"/>
    <w:rsid w:val="00490CDF"/>
    <w:rsid w:val="0049453A"/>
    <w:rsid w:val="004A15ED"/>
    <w:rsid w:val="004A3567"/>
    <w:rsid w:val="004A6627"/>
    <w:rsid w:val="004B40DA"/>
    <w:rsid w:val="004C03EA"/>
    <w:rsid w:val="004C18C8"/>
    <w:rsid w:val="004C1D15"/>
    <w:rsid w:val="004C33D2"/>
    <w:rsid w:val="004C3FC7"/>
    <w:rsid w:val="004C6714"/>
    <w:rsid w:val="004D10E9"/>
    <w:rsid w:val="004D168E"/>
    <w:rsid w:val="004D6B04"/>
    <w:rsid w:val="004D7871"/>
    <w:rsid w:val="004E3289"/>
    <w:rsid w:val="004F0717"/>
    <w:rsid w:val="004F56C1"/>
    <w:rsid w:val="004F6DD4"/>
    <w:rsid w:val="004F712D"/>
    <w:rsid w:val="00500D9F"/>
    <w:rsid w:val="00505645"/>
    <w:rsid w:val="00510992"/>
    <w:rsid w:val="00511C0D"/>
    <w:rsid w:val="0051488C"/>
    <w:rsid w:val="00522AC2"/>
    <w:rsid w:val="00524C7F"/>
    <w:rsid w:val="00527442"/>
    <w:rsid w:val="00527D7C"/>
    <w:rsid w:val="00530AFF"/>
    <w:rsid w:val="005366D2"/>
    <w:rsid w:val="00537936"/>
    <w:rsid w:val="00540044"/>
    <w:rsid w:val="00542344"/>
    <w:rsid w:val="0054614C"/>
    <w:rsid w:val="00552332"/>
    <w:rsid w:val="00554CBD"/>
    <w:rsid w:val="0055584C"/>
    <w:rsid w:val="0056124E"/>
    <w:rsid w:val="00561379"/>
    <w:rsid w:val="00564502"/>
    <w:rsid w:val="00565FB0"/>
    <w:rsid w:val="0056684E"/>
    <w:rsid w:val="005729E2"/>
    <w:rsid w:val="005773F2"/>
    <w:rsid w:val="005803D9"/>
    <w:rsid w:val="00580EB1"/>
    <w:rsid w:val="00590AE2"/>
    <w:rsid w:val="00593D52"/>
    <w:rsid w:val="005956EB"/>
    <w:rsid w:val="005963FD"/>
    <w:rsid w:val="005A108C"/>
    <w:rsid w:val="005A66A7"/>
    <w:rsid w:val="005B5D04"/>
    <w:rsid w:val="005B5F96"/>
    <w:rsid w:val="005C46E5"/>
    <w:rsid w:val="005C789A"/>
    <w:rsid w:val="005D1208"/>
    <w:rsid w:val="005D29F1"/>
    <w:rsid w:val="005D39FF"/>
    <w:rsid w:val="005E15DC"/>
    <w:rsid w:val="005E2E31"/>
    <w:rsid w:val="005F0465"/>
    <w:rsid w:val="005F1584"/>
    <w:rsid w:val="005F2037"/>
    <w:rsid w:val="005F26EF"/>
    <w:rsid w:val="005F2830"/>
    <w:rsid w:val="005F393D"/>
    <w:rsid w:val="006005F1"/>
    <w:rsid w:val="00600CD3"/>
    <w:rsid w:val="006016CD"/>
    <w:rsid w:val="0060269D"/>
    <w:rsid w:val="00604A3A"/>
    <w:rsid w:val="0060713B"/>
    <w:rsid w:val="006124D4"/>
    <w:rsid w:val="00615B93"/>
    <w:rsid w:val="006173C2"/>
    <w:rsid w:val="00617A70"/>
    <w:rsid w:val="00617F19"/>
    <w:rsid w:val="00622254"/>
    <w:rsid w:val="00623036"/>
    <w:rsid w:val="006308B1"/>
    <w:rsid w:val="006320E6"/>
    <w:rsid w:val="0063274F"/>
    <w:rsid w:val="00641684"/>
    <w:rsid w:val="006472AB"/>
    <w:rsid w:val="00651426"/>
    <w:rsid w:val="00652AAA"/>
    <w:rsid w:val="00654BFB"/>
    <w:rsid w:val="00655B97"/>
    <w:rsid w:val="0065708D"/>
    <w:rsid w:val="006577D7"/>
    <w:rsid w:val="00660A26"/>
    <w:rsid w:val="00663656"/>
    <w:rsid w:val="00663764"/>
    <w:rsid w:val="00665363"/>
    <w:rsid w:val="0066669A"/>
    <w:rsid w:val="00667F87"/>
    <w:rsid w:val="0067319E"/>
    <w:rsid w:val="0067492D"/>
    <w:rsid w:val="00677137"/>
    <w:rsid w:val="00683FE1"/>
    <w:rsid w:val="006912F6"/>
    <w:rsid w:val="006A0F1C"/>
    <w:rsid w:val="006A3BFA"/>
    <w:rsid w:val="006B0509"/>
    <w:rsid w:val="006B05F2"/>
    <w:rsid w:val="006B2410"/>
    <w:rsid w:val="006C4B07"/>
    <w:rsid w:val="006C7837"/>
    <w:rsid w:val="006D7528"/>
    <w:rsid w:val="006E21C8"/>
    <w:rsid w:val="006E252E"/>
    <w:rsid w:val="006E359C"/>
    <w:rsid w:val="006E5843"/>
    <w:rsid w:val="006F0367"/>
    <w:rsid w:val="006F07B8"/>
    <w:rsid w:val="006F35B8"/>
    <w:rsid w:val="006F4AA3"/>
    <w:rsid w:val="006F4BEA"/>
    <w:rsid w:val="006F6692"/>
    <w:rsid w:val="00700764"/>
    <w:rsid w:val="00703C7E"/>
    <w:rsid w:val="00703F5D"/>
    <w:rsid w:val="00705E96"/>
    <w:rsid w:val="00706905"/>
    <w:rsid w:val="00706C61"/>
    <w:rsid w:val="007104E9"/>
    <w:rsid w:val="007170B2"/>
    <w:rsid w:val="0072493D"/>
    <w:rsid w:val="00725AAD"/>
    <w:rsid w:val="00726258"/>
    <w:rsid w:val="00726724"/>
    <w:rsid w:val="007330DD"/>
    <w:rsid w:val="007344CC"/>
    <w:rsid w:val="00734538"/>
    <w:rsid w:val="007355B6"/>
    <w:rsid w:val="00737AC7"/>
    <w:rsid w:val="00740D5B"/>
    <w:rsid w:val="00745E49"/>
    <w:rsid w:val="0075008D"/>
    <w:rsid w:val="00750861"/>
    <w:rsid w:val="00757946"/>
    <w:rsid w:val="0076697F"/>
    <w:rsid w:val="007671EE"/>
    <w:rsid w:val="00770EFF"/>
    <w:rsid w:val="007718C8"/>
    <w:rsid w:val="00771CFA"/>
    <w:rsid w:val="007721A1"/>
    <w:rsid w:val="00772C27"/>
    <w:rsid w:val="0077493E"/>
    <w:rsid w:val="00775E40"/>
    <w:rsid w:val="00780C40"/>
    <w:rsid w:val="0078185B"/>
    <w:rsid w:val="00785864"/>
    <w:rsid w:val="0078701A"/>
    <w:rsid w:val="00794ED0"/>
    <w:rsid w:val="00797093"/>
    <w:rsid w:val="00797295"/>
    <w:rsid w:val="007974A1"/>
    <w:rsid w:val="007A216B"/>
    <w:rsid w:val="007A3B04"/>
    <w:rsid w:val="007A62C4"/>
    <w:rsid w:val="007B1F6A"/>
    <w:rsid w:val="007B2035"/>
    <w:rsid w:val="007B43FF"/>
    <w:rsid w:val="007C188D"/>
    <w:rsid w:val="007C1D3D"/>
    <w:rsid w:val="007C1EE9"/>
    <w:rsid w:val="007C78B7"/>
    <w:rsid w:val="007D04D8"/>
    <w:rsid w:val="007D582A"/>
    <w:rsid w:val="007E43B0"/>
    <w:rsid w:val="007F599C"/>
    <w:rsid w:val="00800B68"/>
    <w:rsid w:val="00803B03"/>
    <w:rsid w:val="00805A3F"/>
    <w:rsid w:val="00806A57"/>
    <w:rsid w:val="008071FE"/>
    <w:rsid w:val="00810332"/>
    <w:rsid w:val="00814DA8"/>
    <w:rsid w:val="008158A2"/>
    <w:rsid w:val="00815DC8"/>
    <w:rsid w:val="00817791"/>
    <w:rsid w:val="0082059F"/>
    <w:rsid w:val="00821A83"/>
    <w:rsid w:val="00823A9E"/>
    <w:rsid w:val="0082752C"/>
    <w:rsid w:val="008379D0"/>
    <w:rsid w:val="00840FF2"/>
    <w:rsid w:val="0084146B"/>
    <w:rsid w:val="008433C6"/>
    <w:rsid w:val="008457F6"/>
    <w:rsid w:val="00846BA9"/>
    <w:rsid w:val="00850BC0"/>
    <w:rsid w:val="008548D8"/>
    <w:rsid w:val="008578EF"/>
    <w:rsid w:val="00860F94"/>
    <w:rsid w:val="0086134D"/>
    <w:rsid w:val="00861693"/>
    <w:rsid w:val="0086724A"/>
    <w:rsid w:val="00867D5A"/>
    <w:rsid w:val="00871875"/>
    <w:rsid w:val="00872D26"/>
    <w:rsid w:val="008730B0"/>
    <w:rsid w:val="0087347A"/>
    <w:rsid w:val="00875656"/>
    <w:rsid w:val="0087583A"/>
    <w:rsid w:val="00876B1D"/>
    <w:rsid w:val="008936B9"/>
    <w:rsid w:val="0089483F"/>
    <w:rsid w:val="008A14F3"/>
    <w:rsid w:val="008A2A43"/>
    <w:rsid w:val="008A64BF"/>
    <w:rsid w:val="008A74ED"/>
    <w:rsid w:val="008B045F"/>
    <w:rsid w:val="008B1A4E"/>
    <w:rsid w:val="008B326F"/>
    <w:rsid w:val="008C0B61"/>
    <w:rsid w:val="008C5E4A"/>
    <w:rsid w:val="008C6C9F"/>
    <w:rsid w:val="008D4759"/>
    <w:rsid w:val="008D510A"/>
    <w:rsid w:val="008D684E"/>
    <w:rsid w:val="008E28FF"/>
    <w:rsid w:val="008E6841"/>
    <w:rsid w:val="008F065F"/>
    <w:rsid w:val="008F0838"/>
    <w:rsid w:val="008F2D01"/>
    <w:rsid w:val="008F379D"/>
    <w:rsid w:val="008F5A93"/>
    <w:rsid w:val="008F5DA7"/>
    <w:rsid w:val="008F7136"/>
    <w:rsid w:val="00901586"/>
    <w:rsid w:val="00903C0C"/>
    <w:rsid w:val="009042CD"/>
    <w:rsid w:val="00904759"/>
    <w:rsid w:val="009066F5"/>
    <w:rsid w:val="00907633"/>
    <w:rsid w:val="00910204"/>
    <w:rsid w:val="00910F3F"/>
    <w:rsid w:val="00916F82"/>
    <w:rsid w:val="009209D6"/>
    <w:rsid w:val="00923137"/>
    <w:rsid w:val="009270BC"/>
    <w:rsid w:val="009306FE"/>
    <w:rsid w:val="00932E47"/>
    <w:rsid w:val="0093551C"/>
    <w:rsid w:val="00935FC0"/>
    <w:rsid w:val="00936372"/>
    <w:rsid w:val="00940E16"/>
    <w:rsid w:val="00941C2A"/>
    <w:rsid w:val="00942A4D"/>
    <w:rsid w:val="0094308F"/>
    <w:rsid w:val="009449FD"/>
    <w:rsid w:val="00946332"/>
    <w:rsid w:val="00946B3E"/>
    <w:rsid w:val="00946C83"/>
    <w:rsid w:val="00956A13"/>
    <w:rsid w:val="009570F8"/>
    <w:rsid w:val="00957BB7"/>
    <w:rsid w:val="00960955"/>
    <w:rsid w:val="00960AA0"/>
    <w:rsid w:val="009610F3"/>
    <w:rsid w:val="009669BA"/>
    <w:rsid w:val="00966C48"/>
    <w:rsid w:val="00970BB7"/>
    <w:rsid w:val="00970EC4"/>
    <w:rsid w:val="0097215F"/>
    <w:rsid w:val="00972485"/>
    <w:rsid w:val="0097691B"/>
    <w:rsid w:val="00976A82"/>
    <w:rsid w:val="00982274"/>
    <w:rsid w:val="00982A0B"/>
    <w:rsid w:val="00986E55"/>
    <w:rsid w:val="00987817"/>
    <w:rsid w:val="00996156"/>
    <w:rsid w:val="00997777"/>
    <w:rsid w:val="009A2985"/>
    <w:rsid w:val="009A36A4"/>
    <w:rsid w:val="009A380A"/>
    <w:rsid w:val="009A59E0"/>
    <w:rsid w:val="009A5BDC"/>
    <w:rsid w:val="009B5ED7"/>
    <w:rsid w:val="009C5573"/>
    <w:rsid w:val="009D1372"/>
    <w:rsid w:val="009D5860"/>
    <w:rsid w:val="009E5DD0"/>
    <w:rsid w:val="009F04D2"/>
    <w:rsid w:val="009F2F45"/>
    <w:rsid w:val="009F5E2B"/>
    <w:rsid w:val="009F5F50"/>
    <w:rsid w:val="00A05E82"/>
    <w:rsid w:val="00A22DAF"/>
    <w:rsid w:val="00A26FBF"/>
    <w:rsid w:val="00A300D4"/>
    <w:rsid w:val="00A32AB7"/>
    <w:rsid w:val="00A33763"/>
    <w:rsid w:val="00A34EB5"/>
    <w:rsid w:val="00A350D3"/>
    <w:rsid w:val="00A401D9"/>
    <w:rsid w:val="00A4409B"/>
    <w:rsid w:val="00A4524D"/>
    <w:rsid w:val="00A453E2"/>
    <w:rsid w:val="00A50A79"/>
    <w:rsid w:val="00A52372"/>
    <w:rsid w:val="00A55DF4"/>
    <w:rsid w:val="00A56642"/>
    <w:rsid w:val="00A602E9"/>
    <w:rsid w:val="00A6067D"/>
    <w:rsid w:val="00A60C48"/>
    <w:rsid w:val="00A61418"/>
    <w:rsid w:val="00A62E46"/>
    <w:rsid w:val="00A63B93"/>
    <w:rsid w:val="00A643F6"/>
    <w:rsid w:val="00A64D76"/>
    <w:rsid w:val="00A6589A"/>
    <w:rsid w:val="00A67DF3"/>
    <w:rsid w:val="00A72EA3"/>
    <w:rsid w:val="00A779EA"/>
    <w:rsid w:val="00A810EE"/>
    <w:rsid w:val="00A81280"/>
    <w:rsid w:val="00A825C2"/>
    <w:rsid w:val="00A828FD"/>
    <w:rsid w:val="00A85E27"/>
    <w:rsid w:val="00A86F39"/>
    <w:rsid w:val="00A87750"/>
    <w:rsid w:val="00A90057"/>
    <w:rsid w:val="00A93EA5"/>
    <w:rsid w:val="00A94EB8"/>
    <w:rsid w:val="00AA18AE"/>
    <w:rsid w:val="00AA22EF"/>
    <w:rsid w:val="00AA78E3"/>
    <w:rsid w:val="00AB10A5"/>
    <w:rsid w:val="00AB1B04"/>
    <w:rsid w:val="00AB1FCE"/>
    <w:rsid w:val="00AB2680"/>
    <w:rsid w:val="00AB3437"/>
    <w:rsid w:val="00AB37D5"/>
    <w:rsid w:val="00AB6085"/>
    <w:rsid w:val="00AC2446"/>
    <w:rsid w:val="00AC5B82"/>
    <w:rsid w:val="00AD082E"/>
    <w:rsid w:val="00AD0856"/>
    <w:rsid w:val="00AD15BD"/>
    <w:rsid w:val="00AD2A1C"/>
    <w:rsid w:val="00AD2AF6"/>
    <w:rsid w:val="00AD2DB7"/>
    <w:rsid w:val="00AD324F"/>
    <w:rsid w:val="00AD5635"/>
    <w:rsid w:val="00AD7740"/>
    <w:rsid w:val="00AE031F"/>
    <w:rsid w:val="00AE065E"/>
    <w:rsid w:val="00AE0C2A"/>
    <w:rsid w:val="00AF046D"/>
    <w:rsid w:val="00AF0F8B"/>
    <w:rsid w:val="00AF13A7"/>
    <w:rsid w:val="00AF3374"/>
    <w:rsid w:val="00AF526C"/>
    <w:rsid w:val="00AF6881"/>
    <w:rsid w:val="00B01C6D"/>
    <w:rsid w:val="00B025E2"/>
    <w:rsid w:val="00B03853"/>
    <w:rsid w:val="00B0681C"/>
    <w:rsid w:val="00B1008B"/>
    <w:rsid w:val="00B15A47"/>
    <w:rsid w:val="00B17C63"/>
    <w:rsid w:val="00B24D03"/>
    <w:rsid w:val="00B24FFD"/>
    <w:rsid w:val="00B26B8E"/>
    <w:rsid w:val="00B27D98"/>
    <w:rsid w:val="00B3485D"/>
    <w:rsid w:val="00B36C51"/>
    <w:rsid w:val="00B37E1E"/>
    <w:rsid w:val="00B4024F"/>
    <w:rsid w:val="00B430A3"/>
    <w:rsid w:val="00B430C1"/>
    <w:rsid w:val="00B44439"/>
    <w:rsid w:val="00B44464"/>
    <w:rsid w:val="00B46E70"/>
    <w:rsid w:val="00B5486E"/>
    <w:rsid w:val="00B54B81"/>
    <w:rsid w:val="00B552F5"/>
    <w:rsid w:val="00B60883"/>
    <w:rsid w:val="00B62A2B"/>
    <w:rsid w:val="00B64A6A"/>
    <w:rsid w:val="00B65324"/>
    <w:rsid w:val="00B6682A"/>
    <w:rsid w:val="00B674C8"/>
    <w:rsid w:val="00B67883"/>
    <w:rsid w:val="00B71354"/>
    <w:rsid w:val="00B8316A"/>
    <w:rsid w:val="00B83865"/>
    <w:rsid w:val="00B856DD"/>
    <w:rsid w:val="00B96682"/>
    <w:rsid w:val="00BA0811"/>
    <w:rsid w:val="00BA3907"/>
    <w:rsid w:val="00BA4AF4"/>
    <w:rsid w:val="00BB32AE"/>
    <w:rsid w:val="00BB3734"/>
    <w:rsid w:val="00BC0382"/>
    <w:rsid w:val="00BC338F"/>
    <w:rsid w:val="00BC44FF"/>
    <w:rsid w:val="00BC6E09"/>
    <w:rsid w:val="00BD0A20"/>
    <w:rsid w:val="00BD0B6E"/>
    <w:rsid w:val="00BD231C"/>
    <w:rsid w:val="00BD3DF1"/>
    <w:rsid w:val="00BE6075"/>
    <w:rsid w:val="00BE6F6A"/>
    <w:rsid w:val="00BF4DDA"/>
    <w:rsid w:val="00BF5BCF"/>
    <w:rsid w:val="00BF6ACA"/>
    <w:rsid w:val="00C00618"/>
    <w:rsid w:val="00C00F7E"/>
    <w:rsid w:val="00C024DC"/>
    <w:rsid w:val="00C0302B"/>
    <w:rsid w:val="00C0376A"/>
    <w:rsid w:val="00C111A2"/>
    <w:rsid w:val="00C14E23"/>
    <w:rsid w:val="00C14EE6"/>
    <w:rsid w:val="00C17EBA"/>
    <w:rsid w:val="00C21285"/>
    <w:rsid w:val="00C23C45"/>
    <w:rsid w:val="00C24BE0"/>
    <w:rsid w:val="00C26020"/>
    <w:rsid w:val="00C27513"/>
    <w:rsid w:val="00C3074E"/>
    <w:rsid w:val="00C34056"/>
    <w:rsid w:val="00C3506B"/>
    <w:rsid w:val="00C37C1A"/>
    <w:rsid w:val="00C37D29"/>
    <w:rsid w:val="00C41F95"/>
    <w:rsid w:val="00C42626"/>
    <w:rsid w:val="00C443CC"/>
    <w:rsid w:val="00C53148"/>
    <w:rsid w:val="00C57D2D"/>
    <w:rsid w:val="00C57F09"/>
    <w:rsid w:val="00C6228C"/>
    <w:rsid w:val="00C62F49"/>
    <w:rsid w:val="00C700BD"/>
    <w:rsid w:val="00C741DD"/>
    <w:rsid w:val="00C74B6F"/>
    <w:rsid w:val="00C764FD"/>
    <w:rsid w:val="00C802BA"/>
    <w:rsid w:val="00C8127C"/>
    <w:rsid w:val="00C814D2"/>
    <w:rsid w:val="00C82B72"/>
    <w:rsid w:val="00C86618"/>
    <w:rsid w:val="00C918F3"/>
    <w:rsid w:val="00C91F7B"/>
    <w:rsid w:val="00C97B79"/>
    <w:rsid w:val="00CA32FE"/>
    <w:rsid w:val="00CA4D62"/>
    <w:rsid w:val="00CA6FD9"/>
    <w:rsid w:val="00CA7E76"/>
    <w:rsid w:val="00CB31F6"/>
    <w:rsid w:val="00CB6FBA"/>
    <w:rsid w:val="00CC4384"/>
    <w:rsid w:val="00CC4B11"/>
    <w:rsid w:val="00CC5FC2"/>
    <w:rsid w:val="00CD0F43"/>
    <w:rsid w:val="00CD18C3"/>
    <w:rsid w:val="00CD1A44"/>
    <w:rsid w:val="00CD4434"/>
    <w:rsid w:val="00CD7640"/>
    <w:rsid w:val="00CD7EFD"/>
    <w:rsid w:val="00CE1F5E"/>
    <w:rsid w:val="00CE2A2A"/>
    <w:rsid w:val="00CE2F3B"/>
    <w:rsid w:val="00CE3D1D"/>
    <w:rsid w:val="00CE53EC"/>
    <w:rsid w:val="00CF57BD"/>
    <w:rsid w:val="00CF6A57"/>
    <w:rsid w:val="00CF7492"/>
    <w:rsid w:val="00D02CBA"/>
    <w:rsid w:val="00D02E0C"/>
    <w:rsid w:val="00D03AFC"/>
    <w:rsid w:val="00D03D40"/>
    <w:rsid w:val="00D10877"/>
    <w:rsid w:val="00D12CED"/>
    <w:rsid w:val="00D17806"/>
    <w:rsid w:val="00D33D55"/>
    <w:rsid w:val="00D353B2"/>
    <w:rsid w:val="00D40F0F"/>
    <w:rsid w:val="00D43F95"/>
    <w:rsid w:val="00D4476C"/>
    <w:rsid w:val="00D45B8A"/>
    <w:rsid w:val="00D4757D"/>
    <w:rsid w:val="00D51073"/>
    <w:rsid w:val="00D53C84"/>
    <w:rsid w:val="00D55F3E"/>
    <w:rsid w:val="00D57642"/>
    <w:rsid w:val="00D614F8"/>
    <w:rsid w:val="00D63F30"/>
    <w:rsid w:val="00D659EC"/>
    <w:rsid w:val="00D707BF"/>
    <w:rsid w:val="00D7168C"/>
    <w:rsid w:val="00D756EA"/>
    <w:rsid w:val="00D775AE"/>
    <w:rsid w:val="00D77B93"/>
    <w:rsid w:val="00D80E40"/>
    <w:rsid w:val="00D80FE4"/>
    <w:rsid w:val="00D82495"/>
    <w:rsid w:val="00D830DC"/>
    <w:rsid w:val="00D866BC"/>
    <w:rsid w:val="00D94298"/>
    <w:rsid w:val="00D95D0F"/>
    <w:rsid w:val="00D97888"/>
    <w:rsid w:val="00DA0AF1"/>
    <w:rsid w:val="00DA1E4C"/>
    <w:rsid w:val="00DA34D1"/>
    <w:rsid w:val="00DA3BD6"/>
    <w:rsid w:val="00DA4661"/>
    <w:rsid w:val="00DA5F4D"/>
    <w:rsid w:val="00DA74FC"/>
    <w:rsid w:val="00DB45EE"/>
    <w:rsid w:val="00DB4C10"/>
    <w:rsid w:val="00DB5F45"/>
    <w:rsid w:val="00DC02B4"/>
    <w:rsid w:val="00DC7708"/>
    <w:rsid w:val="00DD2680"/>
    <w:rsid w:val="00DD3085"/>
    <w:rsid w:val="00DD5CC0"/>
    <w:rsid w:val="00DE297D"/>
    <w:rsid w:val="00DE33BB"/>
    <w:rsid w:val="00DE5FAE"/>
    <w:rsid w:val="00DE7B67"/>
    <w:rsid w:val="00DF0889"/>
    <w:rsid w:val="00DF596A"/>
    <w:rsid w:val="00DF5D55"/>
    <w:rsid w:val="00E00D63"/>
    <w:rsid w:val="00E00D6E"/>
    <w:rsid w:val="00E018B4"/>
    <w:rsid w:val="00E04040"/>
    <w:rsid w:val="00E1153D"/>
    <w:rsid w:val="00E135C8"/>
    <w:rsid w:val="00E13926"/>
    <w:rsid w:val="00E163CC"/>
    <w:rsid w:val="00E174DD"/>
    <w:rsid w:val="00E17E45"/>
    <w:rsid w:val="00E215D5"/>
    <w:rsid w:val="00E2657F"/>
    <w:rsid w:val="00E32A9C"/>
    <w:rsid w:val="00E331EB"/>
    <w:rsid w:val="00E36220"/>
    <w:rsid w:val="00E51338"/>
    <w:rsid w:val="00E577F8"/>
    <w:rsid w:val="00E63A06"/>
    <w:rsid w:val="00E63C46"/>
    <w:rsid w:val="00E649F7"/>
    <w:rsid w:val="00E70B33"/>
    <w:rsid w:val="00E72A0F"/>
    <w:rsid w:val="00E765CA"/>
    <w:rsid w:val="00E80F11"/>
    <w:rsid w:val="00E831AC"/>
    <w:rsid w:val="00E84DDE"/>
    <w:rsid w:val="00E84DE8"/>
    <w:rsid w:val="00E85E5A"/>
    <w:rsid w:val="00E913F4"/>
    <w:rsid w:val="00E956B8"/>
    <w:rsid w:val="00E96C22"/>
    <w:rsid w:val="00EA3CF8"/>
    <w:rsid w:val="00EA6F20"/>
    <w:rsid w:val="00EB41BF"/>
    <w:rsid w:val="00EB42D2"/>
    <w:rsid w:val="00EB52D1"/>
    <w:rsid w:val="00EB688F"/>
    <w:rsid w:val="00EC0AC1"/>
    <w:rsid w:val="00EC1666"/>
    <w:rsid w:val="00EC19A8"/>
    <w:rsid w:val="00EC3813"/>
    <w:rsid w:val="00EC560F"/>
    <w:rsid w:val="00ED0B68"/>
    <w:rsid w:val="00ED0F66"/>
    <w:rsid w:val="00ED113E"/>
    <w:rsid w:val="00ED3269"/>
    <w:rsid w:val="00ED41A0"/>
    <w:rsid w:val="00ED74F4"/>
    <w:rsid w:val="00EE0E4A"/>
    <w:rsid w:val="00EE3A73"/>
    <w:rsid w:val="00EE456E"/>
    <w:rsid w:val="00EE4FE3"/>
    <w:rsid w:val="00EE5996"/>
    <w:rsid w:val="00EE76D4"/>
    <w:rsid w:val="00EE7E6F"/>
    <w:rsid w:val="00EF001D"/>
    <w:rsid w:val="00EF2359"/>
    <w:rsid w:val="00EF29EE"/>
    <w:rsid w:val="00EF4C1D"/>
    <w:rsid w:val="00EF5320"/>
    <w:rsid w:val="00F00282"/>
    <w:rsid w:val="00F00D60"/>
    <w:rsid w:val="00F02B83"/>
    <w:rsid w:val="00F0321D"/>
    <w:rsid w:val="00F10372"/>
    <w:rsid w:val="00F10930"/>
    <w:rsid w:val="00F135B1"/>
    <w:rsid w:val="00F14547"/>
    <w:rsid w:val="00F1483E"/>
    <w:rsid w:val="00F20770"/>
    <w:rsid w:val="00F27D59"/>
    <w:rsid w:val="00F314A8"/>
    <w:rsid w:val="00F40825"/>
    <w:rsid w:val="00F50386"/>
    <w:rsid w:val="00F53496"/>
    <w:rsid w:val="00F539C0"/>
    <w:rsid w:val="00F57AB7"/>
    <w:rsid w:val="00F60F00"/>
    <w:rsid w:val="00F636AE"/>
    <w:rsid w:val="00F637A1"/>
    <w:rsid w:val="00F6790A"/>
    <w:rsid w:val="00F71989"/>
    <w:rsid w:val="00F74547"/>
    <w:rsid w:val="00F7583D"/>
    <w:rsid w:val="00F7703F"/>
    <w:rsid w:val="00F80583"/>
    <w:rsid w:val="00F83111"/>
    <w:rsid w:val="00F8497B"/>
    <w:rsid w:val="00F87A32"/>
    <w:rsid w:val="00F96000"/>
    <w:rsid w:val="00F96627"/>
    <w:rsid w:val="00F9725D"/>
    <w:rsid w:val="00F97CED"/>
    <w:rsid w:val="00FA3E44"/>
    <w:rsid w:val="00FA4306"/>
    <w:rsid w:val="00FA73D1"/>
    <w:rsid w:val="00FB114E"/>
    <w:rsid w:val="00FB5C09"/>
    <w:rsid w:val="00FB7026"/>
    <w:rsid w:val="00FC1643"/>
    <w:rsid w:val="00FC1CC7"/>
    <w:rsid w:val="00FC2006"/>
    <w:rsid w:val="00FC402A"/>
    <w:rsid w:val="00FC4F00"/>
    <w:rsid w:val="00FC546B"/>
    <w:rsid w:val="00FD2192"/>
    <w:rsid w:val="00FD28D0"/>
    <w:rsid w:val="00FE1063"/>
    <w:rsid w:val="00FE4046"/>
    <w:rsid w:val="00FE4B13"/>
    <w:rsid w:val="00FF2C99"/>
    <w:rsid w:val="00FF6819"/>
    <w:rsid w:val="00FF6DD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F535A-B3FC-4155-BFBF-05D371F3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32"/>
    <w:pPr>
      <w:spacing w:after="200" w:line="276" w:lineRule="auto"/>
      <w:ind w:left="720"/>
      <w:contextualSpacing/>
    </w:pPr>
  </w:style>
  <w:style w:type="paragraph" w:styleId="Header">
    <w:name w:val="header"/>
    <w:basedOn w:val="Normal"/>
    <w:link w:val="HeaderChar"/>
    <w:uiPriority w:val="99"/>
    <w:unhideWhenUsed/>
    <w:rsid w:val="00810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332"/>
  </w:style>
  <w:style w:type="paragraph" w:styleId="Footer">
    <w:name w:val="footer"/>
    <w:basedOn w:val="Normal"/>
    <w:link w:val="FooterChar"/>
    <w:uiPriority w:val="99"/>
    <w:unhideWhenUsed/>
    <w:rsid w:val="00810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332"/>
  </w:style>
  <w:style w:type="table" w:styleId="TableGrid">
    <w:name w:val="Table Grid"/>
    <w:basedOn w:val="TableNormal"/>
    <w:uiPriority w:val="59"/>
    <w:rsid w:val="0081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0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332"/>
    <w:rPr>
      <w:sz w:val="20"/>
      <w:szCs w:val="20"/>
    </w:rPr>
  </w:style>
  <w:style w:type="character" w:styleId="FootnoteReference">
    <w:name w:val="footnote reference"/>
    <w:basedOn w:val="DefaultParagraphFont"/>
    <w:uiPriority w:val="99"/>
    <w:semiHidden/>
    <w:unhideWhenUsed/>
    <w:rsid w:val="00810332"/>
    <w:rPr>
      <w:vertAlign w:val="superscript"/>
    </w:rPr>
  </w:style>
  <w:style w:type="paragraph" w:styleId="BalloonText">
    <w:name w:val="Balloon Text"/>
    <w:basedOn w:val="Normal"/>
    <w:link w:val="BalloonTextChar"/>
    <w:uiPriority w:val="99"/>
    <w:semiHidden/>
    <w:unhideWhenUsed/>
    <w:rsid w:val="005D3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3580-8112-4388-AD91-56DAE207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8140</Words>
  <Characters>46400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Kudya</dc:creator>
  <cp:lastModifiedBy>JSC</cp:lastModifiedBy>
  <cp:revision>2</cp:revision>
  <cp:lastPrinted>2019-12-24T10:01:00Z</cp:lastPrinted>
  <dcterms:created xsi:type="dcterms:W3CDTF">2020-01-06T09:38:00Z</dcterms:created>
  <dcterms:modified xsi:type="dcterms:W3CDTF">2020-01-06T09:38:00Z</dcterms:modified>
</cp:coreProperties>
</file>