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A0813" w14:textId="5C509678" w:rsidR="00650FB7" w:rsidRDefault="00650FB7" w:rsidP="00650FB7">
      <w:pPr>
        <w:spacing w:line="240" w:lineRule="auto"/>
        <w:contextualSpacing/>
        <w:jc w:val="both"/>
        <w:rPr>
          <w:rFonts w:ascii="the Times New Roman" w:hAnsi="the Times New Roman" w:cs="Times New Roman"/>
          <w:sz w:val="24"/>
          <w:szCs w:val="24"/>
        </w:rPr>
      </w:pPr>
      <w:bookmarkStart w:id="0" w:name="_GoBack"/>
      <w:bookmarkEnd w:id="0"/>
      <w:r>
        <w:rPr>
          <w:rFonts w:ascii="the Times New Roman" w:hAnsi="the Times New Roman" w:cs="Times New Roman"/>
          <w:sz w:val="24"/>
          <w:szCs w:val="24"/>
        </w:rPr>
        <w:t>THE STATE</w:t>
      </w:r>
    </w:p>
    <w:p w14:paraId="01B0BBD0" w14:textId="4552E631" w:rsidR="00F62DEA" w:rsidRDefault="004F665C" w:rsidP="00650FB7">
      <w:pPr>
        <w:spacing w:line="240" w:lineRule="auto"/>
        <w:contextualSpacing/>
        <w:jc w:val="both"/>
        <w:rPr>
          <w:rFonts w:ascii="the Times New Roman" w:hAnsi="the Times New Roman" w:cs="Times New Roman"/>
          <w:sz w:val="24"/>
          <w:szCs w:val="24"/>
        </w:rPr>
      </w:pPr>
      <w:r>
        <w:rPr>
          <w:rFonts w:ascii="the Times New Roman" w:hAnsi="the Times New Roman" w:cs="Times New Roman"/>
          <w:sz w:val="24"/>
          <w:szCs w:val="24"/>
        </w:rPr>
        <w:t>V</w:t>
      </w:r>
      <w:r w:rsidR="00F62DEA">
        <w:rPr>
          <w:rFonts w:ascii="the Times New Roman" w:hAnsi="the Times New Roman" w:cs="Times New Roman"/>
          <w:sz w:val="24"/>
          <w:szCs w:val="24"/>
        </w:rPr>
        <w:t>ersus</w:t>
      </w:r>
    </w:p>
    <w:p w14:paraId="7AE54D2B" w14:textId="3C82119D" w:rsidR="00BD5C67" w:rsidRDefault="004F665C" w:rsidP="00650FB7">
      <w:pPr>
        <w:spacing w:line="240" w:lineRule="auto"/>
        <w:contextualSpacing/>
        <w:jc w:val="both"/>
        <w:rPr>
          <w:rFonts w:ascii="the Times New Roman" w:hAnsi="the Times New Roman" w:cs="Times New Roman"/>
          <w:sz w:val="24"/>
          <w:szCs w:val="24"/>
        </w:rPr>
      </w:pPr>
      <w:r>
        <w:rPr>
          <w:rFonts w:ascii="the Times New Roman" w:hAnsi="the Times New Roman" w:cs="Times New Roman"/>
          <w:sz w:val="24"/>
          <w:szCs w:val="24"/>
        </w:rPr>
        <w:t>VITALIS BETHE</w:t>
      </w:r>
    </w:p>
    <w:p w14:paraId="513A782D" w14:textId="77777777" w:rsidR="00F62DEA" w:rsidRDefault="00F62DEA" w:rsidP="00F62DEA">
      <w:pPr>
        <w:spacing w:line="360" w:lineRule="auto"/>
        <w:jc w:val="both"/>
        <w:rPr>
          <w:rFonts w:ascii="the Times New Roman" w:hAnsi="the Times New Roman" w:cs="Times New Roman"/>
          <w:sz w:val="24"/>
          <w:szCs w:val="24"/>
        </w:rPr>
      </w:pPr>
    </w:p>
    <w:p w14:paraId="4B2130F0" w14:textId="77777777" w:rsidR="00F62DEA" w:rsidRDefault="00F62DEA" w:rsidP="00650FB7">
      <w:pPr>
        <w:spacing w:line="240" w:lineRule="auto"/>
        <w:contextualSpacing/>
        <w:jc w:val="both"/>
        <w:rPr>
          <w:rFonts w:ascii="the Times New Roman" w:hAnsi="the Times New Roman" w:cs="Times New Roman"/>
          <w:sz w:val="24"/>
          <w:szCs w:val="24"/>
        </w:rPr>
      </w:pPr>
      <w:r>
        <w:rPr>
          <w:rFonts w:ascii="the Times New Roman" w:hAnsi="the Times New Roman" w:cs="Times New Roman"/>
          <w:sz w:val="24"/>
          <w:szCs w:val="24"/>
        </w:rPr>
        <w:t>HIGH COURT OF ZIMBABWE</w:t>
      </w:r>
    </w:p>
    <w:p w14:paraId="535F31D1" w14:textId="77777777" w:rsidR="00F62DEA" w:rsidRDefault="00F62DEA" w:rsidP="00650FB7">
      <w:pPr>
        <w:spacing w:line="240" w:lineRule="auto"/>
        <w:contextualSpacing/>
        <w:jc w:val="both"/>
        <w:rPr>
          <w:rFonts w:ascii="the Times New Roman" w:hAnsi="the Times New Roman" w:cs="Times New Roman"/>
          <w:sz w:val="24"/>
          <w:szCs w:val="24"/>
        </w:rPr>
      </w:pPr>
      <w:r>
        <w:rPr>
          <w:rFonts w:ascii="the Times New Roman" w:hAnsi="the Times New Roman" w:cs="Times New Roman"/>
          <w:sz w:val="24"/>
          <w:szCs w:val="24"/>
        </w:rPr>
        <w:t xml:space="preserve">MUZOFA J </w:t>
      </w:r>
    </w:p>
    <w:p w14:paraId="0606F579" w14:textId="2D270CCD" w:rsidR="00F62DEA" w:rsidRDefault="00696202" w:rsidP="00650FB7">
      <w:pPr>
        <w:spacing w:line="240" w:lineRule="auto"/>
        <w:contextualSpacing/>
        <w:jc w:val="both"/>
        <w:rPr>
          <w:rFonts w:ascii="the Times New Roman" w:hAnsi="the Times New Roman" w:cs="Times New Roman"/>
          <w:sz w:val="24"/>
          <w:szCs w:val="24"/>
        </w:rPr>
      </w:pPr>
      <w:r>
        <w:rPr>
          <w:rFonts w:ascii="the Times New Roman" w:hAnsi="the Times New Roman" w:cs="Times New Roman"/>
          <w:sz w:val="24"/>
          <w:szCs w:val="24"/>
        </w:rPr>
        <w:t>HARARE</w:t>
      </w:r>
      <w:r w:rsidR="00650FB7">
        <w:rPr>
          <w:rFonts w:ascii="the Times New Roman" w:hAnsi="the Times New Roman" w:cs="Times New Roman"/>
          <w:sz w:val="24"/>
          <w:szCs w:val="24"/>
        </w:rPr>
        <w:t xml:space="preserve">, </w:t>
      </w:r>
      <w:r w:rsidR="002A0859">
        <w:rPr>
          <w:rFonts w:ascii="the Times New Roman" w:hAnsi="the Times New Roman" w:cs="Times New Roman"/>
          <w:sz w:val="24"/>
          <w:szCs w:val="24"/>
        </w:rPr>
        <w:t>14 December 2023</w:t>
      </w:r>
    </w:p>
    <w:p w14:paraId="6672726F" w14:textId="77777777" w:rsidR="004F665C" w:rsidRDefault="004F665C" w:rsidP="00650FB7">
      <w:pPr>
        <w:spacing w:line="240" w:lineRule="auto"/>
        <w:contextualSpacing/>
        <w:jc w:val="both"/>
        <w:rPr>
          <w:rFonts w:ascii="the Times New Roman" w:hAnsi="the Times New Roman" w:cs="Times New Roman"/>
          <w:sz w:val="24"/>
          <w:szCs w:val="24"/>
        </w:rPr>
      </w:pPr>
    </w:p>
    <w:p w14:paraId="532514AF" w14:textId="77777777" w:rsidR="004F665C" w:rsidRDefault="004F665C" w:rsidP="00650FB7">
      <w:pPr>
        <w:spacing w:line="240" w:lineRule="auto"/>
        <w:contextualSpacing/>
        <w:jc w:val="both"/>
        <w:rPr>
          <w:rFonts w:ascii="the Times New Roman" w:hAnsi="the Times New Roman" w:cs="Times New Roman"/>
          <w:sz w:val="24"/>
          <w:szCs w:val="24"/>
        </w:rPr>
      </w:pPr>
    </w:p>
    <w:p w14:paraId="5BF26D4B" w14:textId="1F9A5DF1" w:rsidR="004F665C" w:rsidRPr="004F665C" w:rsidRDefault="00B8347F" w:rsidP="00650FB7">
      <w:pPr>
        <w:spacing w:line="240" w:lineRule="auto"/>
        <w:contextualSpacing/>
        <w:jc w:val="both"/>
        <w:rPr>
          <w:rFonts w:ascii="the Times New Roman" w:hAnsi="the Times New Roman" w:cs="Times New Roman"/>
          <w:b/>
          <w:bCs/>
          <w:sz w:val="24"/>
          <w:szCs w:val="24"/>
        </w:rPr>
      </w:pPr>
      <w:r>
        <w:rPr>
          <w:rFonts w:ascii="the Times New Roman" w:hAnsi="the Times New Roman" w:cs="Times New Roman"/>
          <w:b/>
          <w:bCs/>
          <w:sz w:val="24"/>
          <w:szCs w:val="24"/>
        </w:rPr>
        <w:t xml:space="preserve"> Chamber a</w:t>
      </w:r>
      <w:r w:rsidR="00BD4F63">
        <w:rPr>
          <w:rFonts w:ascii="the Times New Roman" w:hAnsi="the Times New Roman" w:cs="Times New Roman"/>
          <w:b/>
          <w:bCs/>
          <w:sz w:val="24"/>
          <w:szCs w:val="24"/>
        </w:rPr>
        <w:t xml:space="preserve">pplication for condonation of </w:t>
      </w:r>
      <w:r w:rsidR="004F665C" w:rsidRPr="004F665C">
        <w:rPr>
          <w:rFonts w:ascii="the Times New Roman" w:hAnsi="the Times New Roman" w:cs="Times New Roman"/>
          <w:b/>
          <w:bCs/>
          <w:sz w:val="24"/>
          <w:szCs w:val="24"/>
        </w:rPr>
        <w:t>late noting of an appeal</w:t>
      </w:r>
    </w:p>
    <w:p w14:paraId="5E9558F1" w14:textId="77777777" w:rsidR="00F62DEA" w:rsidRDefault="00F62DEA" w:rsidP="00F62DEA">
      <w:pPr>
        <w:spacing w:line="360" w:lineRule="auto"/>
        <w:jc w:val="both"/>
        <w:rPr>
          <w:rFonts w:ascii="the Times New Roman" w:hAnsi="the Times New Roman" w:cs="Times New Roman"/>
          <w:sz w:val="24"/>
          <w:szCs w:val="24"/>
        </w:rPr>
      </w:pPr>
    </w:p>
    <w:p w14:paraId="020020FA" w14:textId="1B60778C" w:rsidR="004F665C" w:rsidRDefault="00F62DEA" w:rsidP="004F665C">
      <w:pPr>
        <w:spacing w:line="360" w:lineRule="auto"/>
        <w:jc w:val="both"/>
        <w:rPr>
          <w:rFonts w:ascii="the Times New Roman" w:hAnsi="the Times New Roman" w:cs="Times New Roman"/>
          <w:b/>
          <w:bCs/>
          <w:sz w:val="24"/>
          <w:szCs w:val="24"/>
        </w:rPr>
      </w:pPr>
      <w:r w:rsidRPr="00A02D62">
        <w:rPr>
          <w:rFonts w:ascii="the Times New Roman" w:hAnsi="the Times New Roman" w:cs="Times New Roman"/>
          <w:b/>
          <w:bCs/>
          <w:sz w:val="24"/>
          <w:szCs w:val="24"/>
        </w:rPr>
        <w:t>MUZOFA J</w:t>
      </w:r>
      <w:r w:rsidR="002656DC">
        <w:rPr>
          <w:rFonts w:ascii="the Times New Roman" w:hAnsi="the Times New Roman" w:cs="Times New Roman"/>
          <w:b/>
          <w:bCs/>
          <w:sz w:val="24"/>
          <w:szCs w:val="24"/>
        </w:rPr>
        <w:t xml:space="preserve"> </w:t>
      </w:r>
    </w:p>
    <w:p w14:paraId="4E1B897F" w14:textId="454E1FD6" w:rsidR="004F665C" w:rsidRDefault="004F665C"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On the 19</w:t>
      </w:r>
      <w:r w:rsidRPr="004F665C">
        <w:rPr>
          <w:rFonts w:ascii="the Times New Roman" w:hAnsi="the Times New Roman" w:cs="Times New Roman"/>
          <w:sz w:val="24"/>
          <w:szCs w:val="24"/>
          <w:vertAlign w:val="superscript"/>
        </w:rPr>
        <w:t>th</w:t>
      </w:r>
      <w:r>
        <w:rPr>
          <w:rFonts w:ascii="the Times New Roman" w:hAnsi="the Times New Roman" w:cs="Times New Roman"/>
          <w:sz w:val="24"/>
          <w:szCs w:val="24"/>
        </w:rPr>
        <w:t xml:space="preserve"> of august 2019, in Chambers I dismissed the applicant’s application for condonation for late noting of an appeal and leave to appeal in person. The view was that</w:t>
      </w:r>
      <w:r w:rsidR="006870DB">
        <w:rPr>
          <w:rFonts w:ascii="the Times New Roman" w:hAnsi="the Times New Roman" w:cs="Times New Roman"/>
          <w:sz w:val="24"/>
          <w:szCs w:val="24"/>
        </w:rPr>
        <w:t xml:space="preserve"> there were no prospects of success of appeal. Written reasons have been requested for purposes of appeal. I provide them </w:t>
      </w:r>
      <w:r w:rsidR="00696202">
        <w:rPr>
          <w:rFonts w:ascii="the Times New Roman" w:hAnsi="the Times New Roman" w:cs="Times New Roman"/>
          <w:sz w:val="24"/>
          <w:szCs w:val="24"/>
        </w:rPr>
        <w:t xml:space="preserve">herein. </w:t>
      </w:r>
    </w:p>
    <w:p w14:paraId="42BCF866" w14:textId="5F8EBF95" w:rsidR="00FA46A3" w:rsidRPr="00795ED6" w:rsidRDefault="00FA46A3" w:rsidP="004F665C">
      <w:pPr>
        <w:spacing w:line="360" w:lineRule="auto"/>
        <w:jc w:val="both"/>
        <w:rPr>
          <w:rFonts w:ascii="the Times New Roman" w:hAnsi="the Times New Roman" w:cs="Times New Roman"/>
          <w:b/>
          <w:bCs/>
          <w:sz w:val="24"/>
          <w:szCs w:val="24"/>
        </w:rPr>
      </w:pPr>
      <w:r w:rsidRPr="00795ED6">
        <w:rPr>
          <w:rFonts w:ascii="the Times New Roman" w:hAnsi="the Times New Roman" w:cs="Times New Roman"/>
          <w:b/>
          <w:bCs/>
          <w:sz w:val="24"/>
          <w:szCs w:val="24"/>
        </w:rPr>
        <w:t>Backgrounds Facts</w:t>
      </w:r>
    </w:p>
    <w:p w14:paraId="1D0011C6" w14:textId="77154AD9" w:rsidR="00FA46A3" w:rsidRDefault="00FA46A3"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The accused was convicted on 2 coun</w:t>
      </w:r>
      <w:r w:rsidR="00BD4F63">
        <w:rPr>
          <w:rFonts w:ascii="the Times New Roman" w:hAnsi="the Times New Roman" w:cs="Times New Roman"/>
          <w:sz w:val="24"/>
          <w:szCs w:val="24"/>
        </w:rPr>
        <w:t>ts of rape in contravention of s</w:t>
      </w:r>
      <w:r>
        <w:rPr>
          <w:rFonts w:ascii="the Times New Roman" w:hAnsi="the Times New Roman" w:cs="Times New Roman"/>
          <w:sz w:val="24"/>
          <w:szCs w:val="24"/>
        </w:rPr>
        <w:t xml:space="preserve">65 of the Criminal Code after a trial on 23 </w:t>
      </w:r>
      <w:r w:rsidR="00795ED6">
        <w:rPr>
          <w:rFonts w:ascii="the Times New Roman" w:hAnsi="the Times New Roman" w:cs="Times New Roman"/>
          <w:sz w:val="24"/>
          <w:szCs w:val="24"/>
        </w:rPr>
        <w:t>December</w:t>
      </w:r>
      <w:r>
        <w:rPr>
          <w:rFonts w:ascii="the Times New Roman" w:hAnsi="the Times New Roman" w:cs="Times New Roman"/>
          <w:sz w:val="24"/>
          <w:szCs w:val="24"/>
        </w:rPr>
        <w:t xml:space="preserve"> 2013 by a Regional Magistrate sitting at Murehwa Magistrates’ Court.</w:t>
      </w:r>
    </w:p>
    <w:p w14:paraId="2D306C8F" w14:textId="7E20D39F" w:rsidR="007E2BBC" w:rsidRDefault="007E2BBC"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The State alleged that</w:t>
      </w:r>
      <w:r w:rsidR="00BD4F63">
        <w:rPr>
          <w:rFonts w:ascii="the Times New Roman" w:hAnsi="the Times New Roman" w:cs="Times New Roman"/>
          <w:sz w:val="24"/>
          <w:szCs w:val="24"/>
        </w:rPr>
        <w:t xml:space="preserve"> in the period from</w:t>
      </w:r>
      <w:r>
        <w:rPr>
          <w:rFonts w:ascii="the Times New Roman" w:hAnsi="the Times New Roman" w:cs="Times New Roman"/>
          <w:sz w:val="24"/>
          <w:szCs w:val="24"/>
        </w:rPr>
        <w:t xml:space="preserve"> 12 </w:t>
      </w:r>
      <w:r w:rsidR="00795ED6">
        <w:rPr>
          <w:rFonts w:ascii="the Times New Roman" w:hAnsi="the Times New Roman" w:cs="Times New Roman"/>
          <w:sz w:val="24"/>
          <w:szCs w:val="24"/>
        </w:rPr>
        <w:t>January</w:t>
      </w:r>
      <w:r>
        <w:rPr>
          <w:rFonts w:ascii="the Times New Roman" w:hAnsi="the Times New Roman" w:cs="Times New Roman"/>
          <w:sz w:val="24"/>
          <w:szCs w:val="24"/>
        </w:rPr>
        <w:t xml:space="preserve"> 2007 to 31 December 2008 and </w:t>
      </w:r>
      <w:r w:rsidR="00BD4F63">
        <w:rPr>
          <w:rFonts w:ascii="the Times New Roman" w:hAnsi="the Times New Roman" w:cs="Times New Roman"/>
          <w:sz w:val="24"/>
          <w:szCs w:val="24"/>
        </w:rPr>
        <w:t>from the</w:t>
      </w:r>
      <w:r>
        <w:rPr>
          <w:rFonts w:ascii="the Times New Roman" w:hAnsi="the Times New Roman" w:cs="Times New Roman"/>
          <w:sz w:val="24"/>
          <w:szCs w:val="24"/>
        </w:rPr>
        <w:t xml:space="preserve"> </w:t>
      </w:r>
      <w:r w:rsidR="00BD4F63">
        <w:rPr>
          <w:rFonts w:ascii="the Times New Roman" w:hAnsi="the Times New Roman" w:cs="Times New Roman"/>
          <w:sz w:val="24"/>
          <w:szCs w:val="24"/>
        </w:rPr>
        <w:t>1</w:t>
      </w:r>
      <w:r w:rsidR="00BD4F63" w:rsidRPr="00BD4F63">
        <w:rPr>
          <w:rFonts w:ascii="the Times New Roman" w:hAnsi="the Times New Roman" w:cs="Times New Roman"/>
          <w:sz w:val="24"/>
          <w:szCs w:val="24"/>
          <w:vertAlign w:val="superscript"/>
        </w:rPr>
        <w:t>st</w:t>
      </w:r>
      <w:r w:rsidR="00BD4F63">
        <w:rPr>
          <w:rFonts w:ascii="the Times New Roman" w:hAnsi="the Times New Roman" w:cs="Times New Roman"/>
          <w:sz w:val="24"/>
          <w:szCs w:val="24"/>
        </w:rPr>
        <w:t xml:space="preserve"> </w:t>
      </w:r>
      <w:r>
        <w:rPr>
          <w:rFonts w:ascii="the Times New Roman" w:hAnsi="the Times New Roman" w:cs="Times New Roman"/>
          <w:sz w:val="24"/>
          <w:szCs w:val="24"/>
        </w:rPr>
        <w:t xml:space="preserve">January 2009 to 31 August 2021 on unknown dates the accused unlawfully had sexual </w:t>
      </w:r>
      <w:r w:rsidR="00795ED6">
        <w:rPr>
          <w:rFonts w:ascii="the Times New Roman" w:hAnsi="the Times New Roman" w:cs="Times New Roman"/>
          <w:sz w:val="24"/>
          <w:szCs w:val="24"/>
        </w:rPr>
        <w:t>intercourse</w:t>
      </w:r>
      <w:r>
        <w:rPr>
          <w:rFonts w:ascii="the Times New Roman" w:hAnsi="the Times New Roman" w:cs="Times New Roman"/>
          <w:sz w:val="24"/>
          <w:szCs w:val="24"/>
        </w:rPr>
        <w:t xml:space="preserve"> with one Stella Garan</w:t>
      </w:r>
      <w:r w:rsidR="00BD4F63">
        <w:rPr>
          <w:rFonts w:ascii="the Times New Roman" w:hAnsi="the Times New Roman" w:cs="Times New Roman"/>
          <w:sz w:val="24"/>
          <w:szCs w:val="24"/>
        </w:rPr>
        <w:t>’</w:t>
      </w:r>
      <w:r>
        <w:rPr>
          <w:rFonts w:ascii="the Times New Roman" w:hAnsi="the Times New Roman" w:cs="Times New Roman"/>
          <w:sz w:val="24"/>
          <w:szCs w:val="24"/>
        </w:rPr>
        <w:t>anga without her consent. The accused was Stella’s stepfather.</w:t>
      </w:r>
    </w:p>
    <w:p w14:paraId="4F284445" w14:textId="038C6D02" w:rsidR="004B7C9C" w:rsidRDefault="004B7C9C"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Both counts were treated as one for sentence. He was sentenced to 20 years imprisonment.</w:t>
      </w:r>
    </w:p>
    <w:p w14:paraId="75C47FCA" w14:textId="1309745C" w:rsidR="00B532C0" w:rsidRDefault="00B532C0"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The applicant failed to note his appeal within the stipulated time as envisaged</w:t>
      </w:r>
      <w:r w:rsidR="00BD4F63">
        <w:rPr>
          <w:rFonts w:ascii="the Times New Roman" w:hAnsi="the Times New Roman" w:cs="Times New Roman"/>
          <w:sz w:val="24"/>
          <w:szCs w:val="24"/>
        </w:rPr>
        <w:t xml:space="preserve"> by the Rules</w:t>
      </w:r>
      <w:r>
        <w:rPr>
          <w:rFonts w:ascii="the Times New Roman" w:hAnsi="the Times New Roman" w:cs="Times New Roman"/>
          <w:sz w:val="24"/>
          <w:szCs w:val="24"/>
        </w:rPr>
        <w:t>, he then filed this chamber application for condonation for late noting of an appeal, extension of time to file an appeal and leave to appeal in person.</w:t>
      </w:r>
    </w:p>
    <w:p w14:paraId="25CCA7CA" w14:textId="77777777" w:rsidR="00AF6048" w:rsidRDefault="00AF6048" w:rsidP="0059527B">
      <w:pPr>
        <w:spacing w:line="360" w:lineRule="auto"/>
        <w:ind w:firstLine="720"/>
        <w:jc w:val="both"/>
        <w:rPr>
          <w:rFonts w:ascii="the Times New Roman" w:hAnsi="the Times New Roman" w:cs="Times New Roman"/>
          <w:sz w:val="24"/>
          <w:szCs w:val="24"/>
        </w:rPr>
      </w:pPr>
    </w:p>
    <w:p w14:paraId="3BD59B17" w14:textId="77777777" w:rsidR="00AF6048" w:rsidRDefault="00AF6048" w:rsidP="0059527B">
      <w:pPr>
        <w:spacing w:line="360" w:lineRule="auto"/>
        <w:ind w:firstLine="720"/>
        <w:jc w:val="both"/>
        <w:rPr>
          <w:rFonts w:ascii="the Times New Roman" w:hAnsi="the Times New Roman" w:cs="Times New Roman"/>
          <w:sz w:val="24"/>
          <w:szCs w:val="24"/>
        </w:rPr>
      </w:pPr>
    </w:p>
    <w:p w14:paraId="47C1270E" w14:textId="59FFA900" w:rsidR="004026E9" w:rsidRPr="00795ED6" w:rsidRDefault="004026E9" w:rsidP="004F665C">
      <w:pPr>
        <w:spacing w:line="360" w:lineRule="auto"/>
        <w:jc w:val="both"/>
        <w:rPr>
          <w:rFonts w:ascii="the Times New Roman" w:hAnsi="the Times New Roman" w:cs="Times New Roman"/>
          <w:b/>
          <w:bCs/>
          <w:sz w:val="24"/>
          <w:szCs w:val="24"/>
        </w:rPr>
      </w:pPr>
      <w:r w:rsidRPr="00795ED6">
        <w:rPr>
          <w:rFonts w:ascii="the Times New Roman" w:hAnsi="the Times New Roman" w:cs="Times New Roman"/>
          <w:b/>
          <w:bCs/>
          <w:sz w:val="24"/>
          <w:szCs w:val="24"/>
        </w:rPr>
        <w:t>The Law</w:t>
      </w:r>
    </w:p>
    <w:p w14:paraId="59B956D1" w14:textId="2318B609" w:rsidR="004026E9" w:rsidRDefault="004026E9"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 xml:space="preserve">For such an application to </w:t>
      </w:r>
      <w:r w:rsidR="00795ED6">
        <w:rPr>
          <w:rFonts w:ascii="the Times New Roman" w:hAnsi="the Times New Roman" w:cs="Times New Roman"/>
          <w:sz w:val="24"/>
          <w:szCs w:val="24"/>
        </w:rPr>
        <w:t>succeed</w:t>
      </w:r>
      <w:r>
        <w:rPr>
          <w:rFonts w:ascii="the Times New Roman" w:hAnsi="the Times New Roman" w:cs="Times New Roman"/>
          <w:sz w:val="24"/>
          <w:szCs w:val="24"/>
        </w:rPr>
        <w:t xml:space="preserve">, the following factors must be considered. The extent of the delay and the </w:t>
      </w:r>
      <w:r w:rsidR="00795ED6">
        <w:rPr>
          <w:rFonts w:ascii="the Times New Roman" w:hAnsi="the Times New Roman" w:cs="Times New Roman"/>
          <w:sz w:val="24"/>
          <w:szCs w:val="24"/>
        </w:rPr>
        <w:t>explanation</w:t>
      </w:r>
      <w:r>
        <w:rPr>
          <w:rFonts w:ascii="the Times New Roman" w:hAnsi="the Times New Roman" w:cs="Times New Roman"/>
          <w:sz w:val="24"/>
          <w:szCs w:val="24"/>
        </w:rPr>
        <w:t xml:space="preserve"> thereof, the prospects of success should the application</w:t>
      </w:r>
      <w:r w:rsidR="00BD4F63">
        <w:rPr>
          <w:rFonts w:ascii="the Times New Roman" w:hAnsi="the Times New Roman" w:cs="Times New Roman"/>
          <w:sz w:val="24"/>
          <w:szCs w:val="24"/>
        </w:rPr>
        <w:t xml:space="preserve"> be </w:t>
      </w:r>
      <w:r w:rsidR="0059527B">
        <w:rPr>
          <w:rFonts w:ascii="the Times New Roman" w:hAnsi="the Times New Roman" w:cs="Times New Roman"/>
          <w:sz w:val="24"/>
          <w:szCs w:val="24"/>
        </w:rPr>
        <w:t>granted. See</w:t>
      </w:r>
      <w:r w:rsidR="00BD4F63">
        <w:rPr>
          <w:rFonts w:ascii="the Times New Roman" w:hAnsi="the Times New Roman" w:cs="Times New Roman"/>
          <w:sz w:val="24"/>
          <w:szCs w:val="24"/>
        </w:rPr>
        <w:t xml:space="preserve"> </w:t>
      </w:r>
      <w:r w:rsidR="00BD4F63" w:rsidRPr="00BD4F63">
        <w:rPr>
          <w:rFonts w:ascii="the Times New Roman" w:hAnsi="the Times New Roman" w:cs="Times New Roman"/>
          <w:i/>
          <w:sz w:val="24"/>
          <w:szCs w:val="24"/>
        </w:rPr>
        <w:t>Read v Gardner &amp;Anor 2019 (3) ZLR (S</w:t>
      </w:r>
      <w:r w:rsidR="00BD4F63">
        <w:rPr>
          <w:rFonts w:ascii="the Times New Roman" w:hAnsi="the Times New Roman" w:cs="Times New Roman"/>
          <w:sz w:val="24"/>
          <w:szCs w:val="24"/>
        </w:rPr>
        <w:t xml:space="preserve">). </w:t>
      </w:r>
      <w:r w:rsidR="00795ED6">
        <w:rPr>
          <w:rFonts w:ascii="the Times New Roman" w:hAnsi="the Times New Roman" w:cs="Times New Roman"/>
          <w:sz w:val="24"/>
          <w:szCs w:val="24"/>
        </w:rPr>
        <w:t>Although</w:t>
      </w:r>
      <w:r>
        <w:rPr>
          <w:rFonts w:ascii="the Times New Roman" w:hAnsi="the Times New Roman" w:cs="Times New Roman"/>
          <w:sz w:val="24"/>
          <w:szCs w:val="24"/>
        </w:rPr>
        <w:t xml:space="preserve"> in that matter the court was dealing with a civil matter, the same principles apply in criminal matters.</w:t>
      </w:r>
    </w:p>
    <w:p w14:paraId="0311E2C2" w14:textId="153ED557" w:rsidR="00946C50" w:rsidRDefault="00363972"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 xml:space="preserve">In that case the court opined that the factors must be considered cumulatively. It </w:t>
      </w:r>
      <w:r w:rsidR="00BD4F63">
        <w:rPr>
          <w:rFonts w:ascii="the Times New Roman" w:hAnsi="the Times New Roman" w:cs="Times New Roman"/>
          <w:sz w:val="24"/>
          <w:szCs w:val="24"/>
        </w:rPr>
        <w:t>may be</w:t>
      </w:r>
      <w:r>
        <w:rPr>
          <w:rFonts w:ascii="the Times New Roman" w:hAnsi="the Times New Roman" w:cs="Times New Roman"/>
          <w:sz w:val="24"/>
          <w:szCs w:val="24"/>
        </w:rPr>
        <w:t xml:space="preserve"> </w:t>
      </w:r>
      <w:r w:rsidR="00BD4F63">
        <w:rPr>
          <w:rFonts w:ascii="the Times New Roman" w:hAnsi="the Times New Roman" w:cs="Times New Roman"/>
          <w:sz w:val="24"/>
          <w:szCs w:val="24"/>
        </w:rPr>
        <w:t>such</w:t>
      </w:r>
      <w:r>
        <w:rPr>
          <w:rFonts w:ascii="the Times New Roman" w:hAnsi="the Times New Roman" w:cs="Times New Roman"/>
          <w:sz w:val="24"/>
          <w:szCs w:val="24"/>
        </w:rPr>
        <w:t xml:space="preserve"> that, the weakness in one factor may be alleviated by the strength in </w:t>
      </w:r>
      <w:r w:rsidR="00A101C7">
        <w:rPr>
          <w:rFonts w:ascii="the Times New Roman" w:hAnsi="the Times New Roman" w:cs="Times New Roman"/>
          <w:sz w:val="24"/>
          <w:szCs w:val="24"/>
        </w:rPr>
        <w:t>another. Although</w:t>
      </w:r>
      <w:r w:rsidR="00946C50">
        <w:rPr>
          <w:rFonts w:ascii="the Times New Roman" w:hAnsi="the Times New Roman" w:cs="Times New Roman"/>
          <w:sz w:val="24"/>
          <w:szCs w:val="24"/>
        </w:rPr>
        <w:t xml:space="preserve"> there is need to consider all the factors, strong prospects of success on appeal and a reasonable delay make a good combination </w:t>
      </w:r>
      <w:r w:rsidR="00795ED6">
        <w:rPr>
          <w:rFonts w:ascii="the Times New Roman" w:hAnsi="the Times New Roman" w:cs="Times New Roman"/>
          <w:sz w:val="24"/>
          <w:szCs w:val="24"/>
        </w:rPr>
        <w:t>for</w:t>
      </w:r>
      <w:r w:rsidR="00946C50">
        <w:rPr>
          <w:rFonts w:ascii="the Times New Roman" w:hAnsi="the Times New Roman" w:cs="Times New Roman"/>
          <w:sz w:val="24"/>
          <w:szCs w:val="24"/>
        </w:rPr>
        <w:t xml:space="preserve"> the granting of such an application.</w:t>
      </w:r>
    </w:p>
    <w:p w14:paraId="3580246B" w14:textId="1BF0735C" w:rsidR="00076E16" w:rsidRPr="00795ED6" w:rsidRDefault="00076E16" w:rsidP="004F665C">
      <w:pPr>
        <w:spacing w:line="360" w:lineRule="auto"/>
        <w:jc w:val="both"/>
        <w:rPr>
          <w:rFonts w:ascii="the Times New Roman" w:hAnsi="the Times New Roman" w:cs="Times New Roman"/>
          <w:b/>
          <w:bCs/>
          <w:sz w:val="24"/>
          <w:szCs w:val="24"/>
        </w:rPr>
      </w:pPr>
      <w:r w:rsidRPr="00795ED6">
        <w:rPr>
          <w:rFonts w:ascii="the Times New Roman" w:hAnsi="the Times New Roman" w:cs="Times New Roman"/>
          <w:b/>
          <w:bCs/>
          <w:sz w:val="24"/>
          <w:szCs w:val="24"/>
        </w:rPr>
        <w:t>The extent of delay and explanation</w:t>
      </w:r>
    </w:p>
    <w:p w14:paraId="23F31FB6" w14:textId="5A0DE7A6" w:rsidR="00076E16" w:rsidRDefault="00076E16"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 xml:space="preserve">The accused was convicted on 17 </w:t>
      </w:r>
      <w:r w:rsidR="00795ED6">
        <w:rPr>
          <w:rFonts w:ascii="the Times New Roman" w:hAnsi="the Times New Roman" w:cs="Times New Roman"/>
          <w:sz w:val="24"/>
          <w:szCs w:val="24"/>
        </w:rPr>
        <w:t>December</w:t>
      </w:r>
      <w:r>
        <w:rPr>
          <w:rFonts w:ascii="the Times New Roman" w:hAnsi="the Times New Roman" w:cs="Times New Roman"/>
          <w:sz w:val="24"/>
          <w:szCs w:val="24"/>
        </w:rPr>
        <w:t xml:space="preserve"> 2018. He was expected </w:t>
      </w:r>
      <w:r w:rsidR="00795ED6">
        <w:rPr>
          <w:rFonts w:ascii="the Times New Roman" w:hAnsi="the Times New Roman" w:cs="Times New Roman"/>
          <w:sz w:val="24"/>
          <w:szCs w:val="24"/>
        </w:rPr>
        <w:t>to file</w:t>
      </w:r>
      <w:r>
        <w:rPr>
          <w:rFonts w:ascii="the Times New Roman" w:hAnsi="the Times New Roman" w:cs="Times New Roman"/>
          <w:sz w:val="24"/>
          <w:szCs w:val="24"/>
        </w:rPr>
        <w:t xml:space="preserve"> his appeal within 10 days. He failed to do so. His application for leave is dated 24 </w:t>
      </w:r>
      <w:r w:rsidR="00795ED6">
        <w:rPr>
          <w:rFonts w:ascii="the Times New Roman" w:hAnsi="the Times New Roman" w:cs="Times New Roman"/>
          <w:sz w:val="24"/>
          <w:szCs w:val="24"/>
        </w:rPr>
        <w:t>April</w:t>
      </w:r>
      <w:r>
        <w:rPr>
          <w:rFonts w:ascii="the Times New Roman" w:hAnsi="the Times New Roman" w:cs="Times New Roman"/>
          <w:sz w:val="24"/>
          <w:szCs w:val="24"/>
        </w:rPr>
        <w:t xml:space="preserve"> 2019. The delay</w:t>
      </w:r>
      <w:r w:rsidR="00FF0E8D">
        <w:rPr>
          <w:rFonts w:ascii="the Times New Roman" w:hAnsi="the Times New Roman" w:cs="Times New Roman"/>
          <w:sz w:val="24"/>
          <w:szCs w:val="24"/>
        </w:rPr>
        <w:t xml:space="preserve"> of about four months cannot be said to be unreasonable. The explanation is also reasonable. He was transferred from Murehwa to Chikurubi</w:t>
      </w:r>
      <w:r w:rsidR="00BD4F63">
        <w:rPr>
          <w:rFonts w:ascii="the Times New Roman" w:hAnsi="the Times New Roman" w:cs="Times New Roman"/>
          <w:sz w:val="24"/>
          <w:szCs w:val="24"/>
        </w:rPr>
        <w:t xml:space="preserve"> in Harare</w:t>
      </w:r>
      <w:r w:rsidR="00FF0E8D">
        <w:rPr>
          <w:rFonts w:ascii="the Times New Roman" w:hAnsi="the Times New Roman" w:cs="Times New Roman"/>
          <w:sz w:val="24"/>
          <w:szCs w:val="24"/>
        </w:rPr>
        <w:t xml:space="preserve">. The administrative challenges associated with retrieval of records of proceedings are not a secret </w:t>
      </w:r>
      <w:r w:rsidR="00795ED6">
        <w:rPr>
          <w:rFonts w:ascii="the Times New Roman" w:hAnsi="the Times New Roman" w:cs="Times New Roman"/>
          <w:sz w:val="24"/>
          <w:szCs w:val="24"/>
        </w:rPr>
        <w:t>especially</w:t>
      </w:r>
      <w:r w:rsidR="00FF0E8D">
        <w:rPr>
          <w:rFonts w:ascii="the Times New Roman" w:hAnsi="the Times New Roman" w:cs="Times New Roman"/>
          <w:sz w:val="24"/>
          <w:szCs w:val="24"/>
        </w:rPr>
        <w:t xml:space="preserve"> for unrepresented accused persons. In this case, his situation was</w:t>
      </w:r>
      <w:r w:rsidR="00BD4F63">
        <w:rPr>
          <w:rFonts w:ascii="the Times New Roman" w:hAnsi="the Times New Roman" w:cs="Times New Roman"/>
          <w:sz w:val="24"/>
          <w:szCs w:val="24"/>
        </w:rPr>
        <w:t xml:space="preserve"> aggravated</w:t>
      </w:r>
      <w:r w:rsidR="00FF0E8D">
        <w:rPr>
          <w:rFonts w:ascii="the Times New Roman" w:hAnsi="the Times New Roman" w:cs="Times New Roman"/>
          <w:sz w:val="24"/>
          <w:szCs w:val="24"/>
        </w:rPr>
        <w:t xml:space="preserve"> by his transfer from Murehwa Prison where his relatives could easily visit him and take instructions. He was transferred to Chikurubi in Harare which was not easily </w:t>
      </w:r>
      <w:r w:rsidR="00795ED6">
        <w:rPr>
          <w:rFonts w:ascii="the Times New Roman" w:hAnsi="the Times New Roman" w:cs="Times New Roman"/>
          <w:sz w:val="24"/>
          <w:szCs w:val="24"/>
        </w:rPr>
        <w:t>accessible</w:t>
      </w:r>
      <w:r w:rsidR="00FF0E8D">
        <w:rPr>
          <w:rFonts w:ascii="the Times New Roman" w:hAnsi="the Times New Roman" w:cs="Times New Roman"/>
          <w:sz w:val="24"/>
          <w:szCs w:val="24"/>
        </w:rPr>
        <w:t xml:space="preserve"> by his relatives.</w:t>
      </w:r>
    </w:p>
    <w:p w14:paraId="0BD7B2F0" w14:textId="48353052" w:rsidR="00FF0E8D" w:rsidRPr="00795ED6" w:rsidRDefault="00FF0E8D" w:rsidP="004F665C">
      <w:pPr>
        <w:spacing w:line="360" w:lineRule="auto"/>
        <w:jc w:val="both"/>
        <w:rPr>
          <w:rFonts w:ascii="the Times New Roman" w:hAnsi="the Times New Roman" w:cs="Times New Roman"/>
          <w:b/>
          <w:bCs/>
          <w:sz w:val="24"/>
          <w:szCs w:val="24"/>
        </w:rPr>
      </w:pPr>
      <w:r w:rsidRPr="00795ED6">
        <w:rPr>
          <w:rFonts w:ascii="the Times New Roman" w:hAnsi="the Times New Roman" w:cs="Times New Roman"/>
          <w:b/>
          <w:bCs/>
          <w:sz w:val="24"/>
          <w:szCs w:val="24"/>
        </w:rPr>
        <w:t xml:space="preserve">Prospects of </w:t>
      </w:r>
      <w:r w:rsidR="00795ED6" w:rsidRPr="00795ED6">
        <w:rPr>
          <w:rFonts w:ascii="the Times New Roman" w:hAnsi="the Times New Roman" w:cs="Times New Roman"/>
          <w:b/>
          <w:bCs/>
          <w:sz w:val="24"/>
          <w:szCs w:val="24"/>
        </w:rPr>
        <w:t>S</w:t>
      </w:r>
      <w:r w:rsidRPr="00795ED6">
        <w:rPr>
          <w:rFonts w:ascii="the Times New Roman" w:hAnsi="the Times New Roman" w:cs="Times New Roman"/>
          <w:b/>
          <w:bCs/>
          <w:sz w:val="24"/>
          <w:szCs w:val="24"/>
        </w:rPr>
        <w:t>uccess</w:t>
      </w:r>
    </w:p>
    <w:p w14:paraId="1C9B3CD9" w14:textId="32E43166" w:rsidR="00FF0E8D" w:rsidRDefault="00FF0E8D"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 xml:space="preserve">In coming to its </w:t>
      </w:r>
      <w:r w:rsidR="00795ED6">
        <w:rPr>
          <w:rFonts w:ascii="the Times New Roman" w:hAnsi="the Times New Roman" w:cs="Times New Roman"/>
          <w:sz w:val="24"/>
          <w:szCs w:val="24"/>
        </w:rPr>
        <w:t>decision,</w:t>
      </w:r>
      <w:r>
        <w:rPr>
          <w:rFonts w:ascii="the Times New Roman" w:hAnsi="the Times New Roman" w:cs="Times New Roman"/>
          <w:sz w:val="24"/>
          <w:szCs w:val="24"/>
        </w:rPr>
        <w:t xml:space="preserve"> the court found the </w:t>
      </w:r>
      <w:r w:rsidR="00795ED6">
        <w:rPr>
          <w:rFonts w:ascii="the Times New Roman" w:hAnsi="the Times New Roman" w:cs="Times New Roman"/>
          <w:sz w:val="24"/>
          <w:szCs w:val="24"/>
        </w:rPr>
        <w:t>complainant</w:t>
      </w:r>
      <w:r>
        <w:rPr>
          <w:rFonts w:ascii="the Times New Roman" w:hAnsi="the Times New Roman" w:cs="Times New Roman"/>
          <w:sz w:val="24"/>
          <w:szCs w:val="24"/>
        </w:rPr>
        <w:t xml:space="preserve"> to be credible. The court found that although one Munyepwa was once arrested for raping the </w:t>
      </w:r>
      <w:r w:rsidR="00CB130C">
        <w:rPr>
          <w:rFonts w:ascii="the Times New Roman" w:hAnsi="the Times New Roman" w:cs="Times New Roman"/>
          <w:sz w:val="24"/>
          <w:szCs w:val="24"/>
        </w:rPr>
        <w:t xml:space="preserve">complainant. It is the applicant who caused Munyepwa’s arrest. He was subsequently </w:t>
      </w:r>
      <w:r>
        <w:rPr>
          <w:rFonts w:ascii="the Times New Roman" w:hAnsi="the Times New Roman" w:cs="Times New Roman"/>
          <w:sz w:val="24"/>
          <w:szCs w:val="24"/>
        </w:rPr>
        <w:t>acquitted.</w:t>
      </w:r>
    </w:p>
    <w:p w14:paraId="2C680D40" w14:textId="659C5F7E" w:rsidR="001C607D" w:rsidRPr="00946C50" w:rsidRDefault="00CB100E"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The court considered that although there was no timeous report, a reasonable explanation existed. The a</w:t>
      </w:r>
      <w:r w:rsidR="00CB130C">
        <w:rPr>
          <w:rFonts w:ascii="the Times New Roman" w:hAnsi="the Times New Roman" w:cs="Times New Roman"/>
          <w:sz w:val="24"/>
          <w:szCs w:val="24"/>
        </w:rPr>
        <w:t xml:space="preserve">pplicant </w:t>
      </w:r>
      <w:r>
        <w:rPr>
          <w:rFonts w:ascii="the Times New Roman" w:hAnsi="the Times New Roman" w:cs="Times New Roman"/>
          <w:sz w:val="24"/>
          <w:szCs w:val="24"/>
        </w:rPr>
        <w:t xml:space="preserve">threatened the </w:t>
      </w:r>
      <w:r w:rsidR="00795ED6">
        <w:rPr>
          <w:rFonts w:ascii="the Times New Roman" w:hAnsi="the Times New Roman" w:cs="Times New Roman"/>
          <w:sz w:val="24"/>
          <w:szCs w:val="24"/>
        </w:rPr>
        <w:t>complainant</w:t>
      </w:r>
      <w:r>
        <w:rPr>
          <w:rFonts w:ascii="the Times New Roman" w:hAnsi="the Times New Roman" w:cs="Times New Roman"/>
          <w:sz w:val="24"/>
          <w:szCs w:val="24"/>
        </w:rPr>
        <w:t xml:space="preserve"> with death together with her mother. The </w:t>
      </w:r>
      <w:r w:rsidR="00795ED6">
        <w:rPr>
          <w:rFonts w:ascii="the Times New Roman" w:hAnsi="the Times New Roman" w:cs="Times New Roman"/>
          <w:sz w:val="24"/>
          <w:szCs w:val="24"/>
        </w:rPr>
        <w:t>complainant</w:t>
      </w:r>
      <w:r>
        <w:rPr>
          <w:rFonts w:ascii="the Times New Roman" w:hAnsi="the Times New Roman" w:cs="Times New Roman"/>
          <w:sz w:val="24"/>
          <w:szCs w:val="24"/>
        </w:rPr>
        <w:t xml:space="preserve"> reported the matter to her </w:t>
      </w:r>
      <w:r w:rsidR="00795ED6">
        <w:rPr>
          <w:rFonts w:ascii="the Times New Roman" w:hAnsi="the Times New Roman" w:cs="Times New Roman"/>
          <w:sz w:val="24"/>
          <w:szCs w:val="24"/>
        </w:rPr>
        <w:t>paternal</w:t>
      </w:r>
      <w:r>
        <w:rPr>
          <w:rFonts w:ascii="the Times New Roman" w:hAnsi="the Times New Roman" w:cs="Times New Roman"/>
          <w:sz w:val="24"/>
          <w:szCs w:val="24"/>
        </w:rPr>
        <w:t xml:space="preserve"> </w:t>
      </w:r>
      <w:r w:rsidR="00CB130C">
        <w:rPr>
          <w:rFonts w:ascii="the Times New Roman" w:hAnsi="the Times New Roman" w:cs="Times New Roman"/>
          <w:sz w:val="24"/>
          <w:szCs w:val="24"/>
        </w:rPr>
        <w:t xml:space="preserve">aunt. At that stage she felt safe to report since he </w:t>
      </w:r>
      <w:r w:rsidR="00CB130C">
        <w:rPr>
          <w:rFonts w:ascii="the Times New Roman" w:hAnsi="the Times New Roman" w:cs="Times New Roman"/>
          <w:sz w:val="24"/>
          <w:szCs w:val="24"/>
        </w:rPr>
        <w:lastRenderedPageBreak/>
        <w:t>was no longer in the custody of the applicant.</w:t>
      </w:r>
      <w:r>
        <w:rPr>
          <w:rFonts w:ascii="the Times New Roman" w:hAnsi="the Times New Roman" w:cs="Times New Roman"/>
          <w:sz w:val="24"/>
          <w:szCs w:val="24"/>
        </w:rPr>
        <w:t xml:space="preserve"> The accused had taken her for school holiday.</w:t>
      </w:r>
      <w:r w:rsidR="00CB130C">
        <w:rPr>
          <w:rFonts w:ascii="the Times New Roman" w:hAnsi="the Times New Roman" w:cs="Times New Roman"/>
          <w:sz w:val="24"/>
          <w:szCs w:val="24"/>
        </w:rPr>
        <w:t xml:space="preserve"> Her aunt had</w:t>
      </w:r>
      <w:r w:rsidR="00111783">
        <w:rPr>
          <w:rFonts w:ascii="the Times New Roman" w:hAnsi="the Times New Roman" w:cs="Times New Roman"/>
          <w:sz w:val="24"/>
          <w:szCs w:val="24"/>
        </w:rPr>
        <w:t xml:space="preserve"> seen a pale child and asked if she had any problems. The </w:t>
      </w:r>
      <w:r w:rsidR="00795ED6">
        <w:rPr>
          <w:rFonts w:ascii="the Times New Roman" w:hAnsi="the Times New Roman" w:cs="Times New Roman"/>
          <w:sz w:val="24"/>
          <w:szCs w:val="24"/>
        </w:rPr>
        <w:t>complainant</w:t>
      </w:r>
      <w:r w:rsidR="00111783">
        <w:rPr>
          <w:rFonts w:ascii="the Times New Roman" w:hAnsi="the Times New Roman" w:cs="Times New Roman"/>
          <w:sz w:val="24"/>
          <w:szCs w:val="24"/>
        </w:rPr>
        <w:t xml:space="preserve"> then disclosed her ordeal to her aunt.</w:t>
      </w:r>
    </w:p>
    <w:p w14:paraId="62F52787" w14:textId="2EFDB1E2" w:rsidR="001C607D" w:rsidRDefault="001C607D" w:rsidP="001C607D">
      <w:pPr>
        <w:pStyle w:val="FootnoteText"/>
      </w:pPr>
    </w:p>
    <w:p w14:paraId="41A599B1" w14:textId="56B11811" w:rsidR="001C607D" w:rsidRPr="001C607D" w:rsidRDefault="00DB2EC3" w:rsidP="0059527B">
      <w:pPr>
        <w:pStyle w:val="FootnoteText"/>
        <w:spacing w:line="360" w:lineRule="auto"/>
        <w:ind w:firstLine="720"/>
      </w:pPr>
      <w:r>
        <w:rPr>
          <w:rFonts w:ascii="the Times New Roman" w:hAnsi="the Times New Roman" w:cs="Times New Roman"/>
          <w:sz w:val="24"/>
          <w:szCs w:val="24"/>
        </w:rPr>
        <w:t xml:space="preserve">A perusal of the record of </w:t>
      </w:r>
      <w:r w:rsidR="00795ED6">
        <w:rPr>
          <w:rFonts w:ascii="the Times New Roman" w:hAnsi="the Times New Roman" w:cs="Times New Roman"/>
          <w:sz w:val="24"/>
          <w:szCs w:val="24"/>
        </w:rPr>
        <w:t>proceedings</w:t>
      </w:r>
      <w:r>
        <w:rPr>
          <w:rFonts w:ascii="the Times New Roman" w:hAnsi="the Times New Roman" w:cs="Times New Roman"/>
          <w:sz w:val="24"/>
          <w:szCs w:val="24"/>
        </w:rPr>
        <w:t xml:space="preserve"> reveals that the aunt questioned her on her health and not about the rape. </w:t>
      </w:r>
      <w:r w:rsidR="0012336D">
        <w:rPr>
          <w:rFonts w:ascii="the Times New Roman" w:hAnsi="the Times New Roman" w:cs="Times New Roman"/>
          <w:sz w:val="24"/>
          <w:szCs w:val="24"/>
        </w:rPr>
        <w:t>Thus,</w:t>
      </w:r>
      <w:r>
        <w:rPr>
          <w:rFonts w:ascii="the Times New Roman" w:hAnsi="the Times New Roman" w:cs="Times New Roman"/>
          <w:sz w:val="24"/>
          <w:szCs w:val="24"/>
        </w:rPr>
        <w:t xml:space="preserve"> the court a quo did not misdirect itself by accepting the report.</w:t>
      </w:r>
    </w:p>
    <w:p w14:paraId="43FF9C11" w14:textId="59AFA04D" w:rsidR="00135CE1" w:rsidRDefault="00135CE1" w:rsidP="0059527B">
      <w:pPr>
        <w:spacing w:line="360" w:lineRule="auto"/>
        <w:jc w:val="both"/>
        <w:rPr>
          <w:rFonts w:ascii="the Times New Roman" w:hAnsi="the Times New Roman" w:cs="Times New Roman"/>
          <w:sz w:val="24"/>
          <w:szCs w:val="24"/>
        </w:rPr>
      </w:pPr>
      <w:r>
        <w:rPr>
          <w:rFonts w:ascii="the Times New Roman" w:hAnsi="the Times New Roman" w:cs="Times New Roman"/>
          <w:sz w:val="24"/>
          <w:szCs w:val="24"/>
        </w:rPr>
        <w:t xml:space="preserve">On the other </w:t>
      </w:r>
      <w:r w:rsidR="0012336D">
        <w:rPr>
          <w:rFonts w:ascii="the Times New Roman" w:hAnsi="the Times New Roman" w:cs="Times New Roman"/>
          <w:sz w:val="24"/>
          <w:szCs w:val="24"/>
        </w:rPr>
        <w:t>hand,</w:t>
      </w:r>
      <w:r>
        <w:rPr>
          <w:rFonts w:ascii="the Times New Roman" w:hAnsi="the Times New Roman" w:cs="Times New Roman"/>
          <w:sz w:val="24"/>
          <w:szCs w:val="24"/>
        </w:rPr>
        <w:t xml:space="preserve"> the trial court found the applicant’s testimony inconsistent. He denied ever spending time alone with the complainant in Chitungwiza. His own witness confirmed that he would</w:t>
      </w:r>
      <w:r w:rsidR="00226D16">
        <w:rPr>
          <w:rFonts w:ascii="the Times New Roman" w:hAnsi="the Times New Roman" w:cs="Times New Roman"/>
          <w:sz w:val="24"/>
          <w:szCs w:val="24"/>
        </w:rPr>
        <w:t xml:space="preserve"> at times leave the applicant and </w:t>
      </w:r>
      <w:r w:rsidR="0012336D">
        <w:rPr>
          <w:rFonts w:ascii="the Times New Roman" w:hAnsi="the Times New Roman" w:cs="Times New Roman"/>
          <w:sz w:val="24"/>
          <w:szCs w:val="24"/>
        </w:rPr>
        <w:t>complainant</w:t>
      </w:r>
      <w:r w:rsidR="00226D16">
        <w:rPr>
          <w:rFonts w:ascii="the Times New Roman" w:hAnsi="the Times New Roman" w:cs="Times New Roman"/>
          <w:sz w:val="24"/>
          <w:szCs w:val="24"/>
        </w:rPr>
        <w:t xml:space="preserve"> alone when she went out to the shops. The </w:t>
      </w:r>
      <w:r w:rsidR="0012336D">
        <w:rPr>
          <w:rFonts w:ascii="the Times New Roman" w:hAnsi="the Times New Roman" w:cs="Times New Roman"/>
          <w:sz w:val="24"/>
          <w:szCs w:val="24"/>
        </w:rPr>
        <w:t>complainant</w:t>
      </w:r>
      <w:r w:rsidR="00226D16">
        <w:rPr>
          <w:rFonts w:ascii="the Times New Roman" w:hAnsi="the Times New Roman" w:cs="Times New Roman"/>
          <w:sz w:val="24"/>
          <w:szCs w:val="24"/>
        </w:rPr>
        <w:t xml:space="preserve"> actually said the aunt had gone to the shops when she was raped.</w:t>
      </w:r>
    </w:p>
    <w:p w14:paraId="52D85E4A" w14:textId="558B3A60" w:rsidR="00226D16" w:rsidRDefault="00880263"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S</w:t>
      </w:r>
      <w:r w:rsidR="00226D16">
        <w:rPr>
          <w:rFonts w:ascii="the Times New Roman" w:hAnsi="the Times New Roman" w:cs="Times New Roman"/>
          <w:sz w:val="24"/>
          <w:szCs w:val="24"/>
        </w:rPr>
        <w:t>econdly</w:t>
      </w:r>
      <w:r>
        <w:rPr>
          <w:rFonts w:ascii="the Times New Roman" w:hAnsi="the Times New Roman" w:cs="Times New Roman"/>
          <w:sz w:val="24"/>
          <w:szCs w:val="24"/>
        </w:rPr>
        <w:t xml:space="preserve">, the trial court found that the accused implicated initially Paul Munyepwa, that he raped the </w:t>
      </w:r>
      <w:r w:rsidR="0012336D">
        <w:rPr>
          <w:rFonts w:ascii="the Times New Roman" w:hAnsi="the Times New Roman" w:cs="Times New Roman"/>
          <w:sz w:val="24"/>
          <w:szCs w:val="24"/>
        </w:rPr>
        <w:t>complainant</w:t>
      </w:r>
      <w:r>
        <w:rPr>
          <w:rFonts w:ascii="the Times New Roman" w:hAnsi="the Times New Roman" w:cs="Times New Roman"/>
          <w:sz w:val="24"/>
          <w:szCs w:val="24"/>
        </w:rPr>
        <w:t xml:space="preserve">, then Godfrey. In another breath he suspected that George Chanakira prevailed on the </w:t>
      </w:r>
      <w:r w:rsidR="0012336D">
        <w:rPr>
          <w:rFonts w:ascii="the Times New Roman" w:hAnsi="the Times New Roman" w:cs="Times New Roman"/>
          <w:sz w:val="24"/>
          <w:szCs w:val="24"/>
        </w:rPr>
        <w:t>complainant</w:t>
      </w:r>
      <w:r>
        <w:rPr>
          <w:rFonts w:ascii="the Times New Roman" w:hAnsi="the Times New Roman" w:cs="Times New Roman"/>
          <w:sz w:val="24"/>
          <w:szCs w:val="24"/>
        </w:rPr>
        <w:t xml:space="preserve"> to lie against him. </w:t>
      </w:r>
      <w:r w:rsidR="0012336D">
        <w:rPr>
          <w:rFonts w:ascii="the Times New Roman" w:hAnsi="the Times New Roman" w:cs="Times New Roman"/>
          <w:sz w:val="24"/>
          <w:szCs w:val="24"/>
        </w:rPr>
        <w:t>Finally,</w:t>
      </w:r>
      <w:r>
        <w:rPr>
          <w:rFonts w:ascii="the Times New Roman" w:hAnsi="the Times New Roman" w:cs="Times New Roman"/>
          <w:sz w:val="24"/>
          <w:szCs w:val="24"/>
        </w:rPr>
        <w:t xml:space="preserve"> he blamed the aunt Emaculate Chihata that she influenced the </w:t>
      </w:r>
      <w:r w:rsidR="0012336D">
        <w:rPr>
          <w:rFonts w:ascii="the Times New Roman" w:hAnsi="the Times New Roman" w:cs="Times New Roman"/>
          <w:sz w:val="24"/>
          <w:szCs w:val="24"/>
        </w:rPr>
        <w:t>complainant</w:t>
      </w:r>
      <w:r>
        <w:rPr>
          <w:rFonts w:ascii="the Times New Roman" w:hAnsi="the Times New Roman" w:cs="Times New Roman"/>
          <w:sz w:val="24"/>
          <w:szCs w:val="24"/>
        </w:rPr>
        <w:t xml:space="preserve"> to lie against him.</w:t>
      </w:r>
      <w:r w:rsidR="00721D22">
        <w:rPr>
          <w:rFonts w:ascii="the Times New Roman" w:hAnsi="the Times New Roman" w:cs="Times New Roman"/>
          <w:sz w:val="24"/>
          <w:szCs w:val="24"/>
        </w:rPr>
        <w:t xml:space="preserve"> </w:t>
      </w:r>
      <w:r w:rsidR="00CB130C">
        <w:rPr>
          <w:rFonts w:ascii="the Times New Roman" w:hAnsi="the Times New Roman" w:cs="Times New Roman"/>
          <w:sz w:val="24"/>
          <w:szCs w:val="24"/>
        </w:rPr>
        <w:t>There can be no misdirection in this finding when the applicant was not consistent in his evidence.</w:t>
      </w:r>
    </w:p>
    <w:p w14:paraId="4BE86FB0" w14:textId="218E388F" w:rsidR="00B5532A" w:rsidRDefault="00FF7008"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In the whole, the trial court reasoned that, the a</w:t>
      </w:r>
      <w:r w:rsidR="00CB130C">
        <w:rPr>
          <w:rFonts w:ascii="the Times New Roman" w:hAnsi="the Times New Roman" w:cs="Times New Roman"/>
          <w:sz w:val="24"/>
          <w:szCs w:val="24"/>
        </w:rPr>
        <w:t>pplicant</w:t>
      </w:r>
      <w:r>
        <w:rPr>
          <w:rFonts w:ascii="the Times New Roman" w:hAnsi="the Times New Roman" w:cs="Times New Roman"/>
          <w:sz w:val="24"/>
          <w:szCs w:val="24"/>
        </w:rPr>
        <w:t xml:space="preserve"> who was complainant’s step father stayed with her.</w:t>
      </w:r>
      <w:r w:rsidR="00221861">
        <w:rPr>
          <w:rFonts w:ascii="the Times New Roman" w:hAnsi="the Times New Roman" w:cs="Times New Roman"/>
          <w:sz w:val="24"/>
          <w:szCs w:val="24"/>
        </w:rPr>
        <w:t xml:space="preserve"> It seems her mother was not usually with them. The a</w:t>
      </w:r>
      <w:r w:rsidR="00CB130C">
        <w:rPr>
          <w:rFonts w:ascii="the Times New Roman" w:hAnsi="the Times New Roman" w:cs="Times New Roman"/>
          <w:sz w:val="24"/>
          <w:szCs w:val="24"/>
        </w:rPr>
        <w:t>pplicant</w:t>
      </w:r>
      <w:r w:rsidR="00221861">
        <w:rPr>
          <w:rFonts w:ascii="the Times New Roman" w:hAnsi="the Times New Roman" w:cs="Times New Roman"/>
          <w:sz w:val="24"/>
          <w:szCs w:val="24"/>
        </w:rPr>
        <w:t xml:space="preserve"> therefore raped the </w:t>
      </w:r>
      <w:r w:rsidR="0012336D">
        <w:rPr>
          <w:rFonts w:ascii="the Times New Roman" w:hAnsi="the Times New Roman" w:cs="Times New Roman"/>
          <w:sz w:val="24"/>
          <w:szCs w:val="24"/>
        </w:rPr>
        <w:t>complainant</w:t>
      </w:r>
      <w:r w:rsidR="00221861">
        <w:rPr>
          <w:rFonts w:ascii="the Times New Roman" w:hAnsi="the Times New Roman" w:cs="Times New Roman"/>
          <w:sz w:val="24"/>
          <w:szCs w:val="24"/>
        </w:rPr>
        <w:t xml:space="preserve"> continuously. She was threatened. She did not report, rather she was influenced by the a</w:t>
      </w:r>
      <w:r w:rsidR="00CB130C">
        <w:rPr>
          <w:rFonts w:ascii="the Times New Roman" w:hAnsi="the Times New Roman" w:cs="Times New Roman"/>
          <w:sz w:val="24"/>
          <w:szCs w:val="24"/>
        </w:rPr>
        <w:t>pplicant</w:t>
      </w:r>
      <w:r w:rsidR="00221861">
        <w:rPr>
          <w:rFonts w:ascii="the Times New Roman" w:hAnsi="the Times New Roman" w:cs="Times New Roman"/>
          <w:sz w:val="24"/>
          <w:szCs w:val="24"/>
        </w:rPr>
        <w:t xml:space="preserve"> to falsely implicate one Paul Munyepwa. The </w:t>
      </w:r>
      <w:r w:rsidR="0012336D">
        <w:rPr>
          <w:rFonts w:ascii="the Times New Roman" w:hAnsi="the Times New Roman" w:cs="Times New Roman"/>
          <w:sz w:val="24"/>
          <w:szCs w:val="24"/>
        </w:rPr>
        <w:t>complainant</w:t>
      </w:r>
      <w:r w:rsidR="00221861">
        <w:rPr>
          <w:rFonts w:ascii="the Times New Roman" w:hAnsi="the Times New Roman" w:cs="Times New Roman"/>
          <w:sz w:val="24"/>
          <w:szCs w:val="24"/>
        </w:rPr>
        <w:t xml:space="preserve"> found some peace to disclose to Emaculate her aunt when she was out of control and influence</w:t>
      </w:r>
      <w:r w:rsidR="00CB130C">
        <w:rPr>
          <w:rFonts w:ascii="the Times New Roman" w:hAnsi="the Times New Roman" w:cs="Times New Roman"/>
          <w:sz w:val="24"/>
          <w:szCs w:val="24"/>
        </w:rPr>
        <w:t xml:space="preserve"> of the applicant</w:t>
      </w:r>
      <w:r w:rsidR="00221861">
        <w:rPr>
          <w:rFonts w:ascii="the Times New Roman" w:hAnsi="the Times New Roman" w:cs="Times New Roman"/>
          <w:sz w:val="24"/>
          <w:szCs w:val="24"/>
        </w:rPr>
        <w:t xml:space="preserve">. The </w:t>
      </w:r>
      <w:r w:rsidR="0012336D">
        <w:rPr>
          <w:rFonts w:ascii="the Times New Roman" w:hAnsi="the Times New Roman" w:cs="Times New Roman"/>
          <w:sz w:val="24"/>
          <w:szCs w:val="24"/>
        </w:rPr>
        <w:t>complainant</w:t>
      </w:r>
      <w:r w:rsidR="00221861">
        <w:rPr>
          <w:rFonts w:ascii="the Times New Roman" w:hAnsi="the Times New Roman" w:cs="Times New Roman"/>
          <w:sz w:val="24"/>
          <w:szCs w:val="24"/>
        </w:rPr>
        <w:t xml:space="preserve"> was young and impressionable</w:t>
      </w:r>
      <w:r w:rsidR="00B5532A">
        <w:rPr>
          <w:rFonts w:ascii="the Times New Roman" w:hAnsi="the Times New Roman" w:cs="Times New Roman"/>
          <w:sz w:val="24"/>
          <w:szCs w:val="24"/>
        </w:rPr>
        <w:t>.</w:t>
      </w:r>
    </w:p>
    <w:p w14:paraId="7082FD25" w14:textId="51A44B31" w:rsidR="00B5532A" w:rsidRDefault="00B5532A"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Having said so</w:t>
      </w:r>
      <w:r w:rsidR="00CB130C">
        <w:rPr>
          <w:rFonts w:ascii="the Times New Roman" w:hAnsi="the Times New Roman" w:cs="Times New Roman"/>
          <w:sz w:val="24"/>
          <w:szCs w:val="24"/>
        </w:rPr>
        <w:t xml:space="preserve">, the </w:t>
      </w:r>
      <w:r>
        <w:rPr>
          <w:rFonts w:ascii="the Times New Roman" w:hAnsi="the Times New Roman" w:cs="Times New Roman"/>
          <w:sz w:val="24"/>
          <w:szCs w:val="24"/>
        </w:rPr>
        <w:t>intended appeal based on the grounds of appeal enjoy no prospects of success.</w:t>
      </w:r>
    </w:p>
    <w:p w14:paraId="786EC1D6" w14:textId="02D4B287" w:rsidR="000561E7" w:rsidRDefault="000561E7"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Although the applicant</w:t>
      </w:r>
      <w:r w:rsidR="0059527B">
        <w:rPr>
          <w:rFonts w:ascii="the Times New Roman" w:hAnsi="the Times New Roman" w:cs="Times New Roman"/>
          <w:sz w:val="24"/>
          <w:szCs w:val="24"/>
        </w:rPr>
        <w:t xml:space="preserve"> indicated in his </w:t>
      </w:r>
      <w:r>
        <w:rPr>
          <w:rFonts w:ascii="the Times New Roman" w:hAnsi="the Times New Roman" w:cs="Times New Roman"/>
          <w:sz w:val="24"/>
          <w:szCs w:val="24"/>
        </w:rPr>
        <w:t>notice of appeal</w:t>
      </w:r>
      <w:r w:rsidR="0059527B">
        <w:rPr>
          <w:rFonts w:ascii="the Times New Roman" w:hAnsi="the Times New Roman" w:cs="Times New Roman"/>
          <w:sz w:val="24"/>
          <w:szCs w:val="24"/>
        </w:rPr>
        <w:t xml:space="preserve"> that the appeal was against both</w:t>
      </w:r>
      <w:r>
        <w:rPr>
          <w:rFonts w:ascii="the Times New Roman" w:hAnsi="the Times New Roman" w:cs="Times New Roman"/>
          <w:sz w:val="24"/>
          <w:szCs w:val="24"/>
        </w:rPr>
        <w:t xml:space="preserve"> conviction</w:t>
      </w:r>
      <w:r w:rsidR="00CB130C">
        <w:rPr>
          <w:rFonts w:ascii="the Times New Roman" w:hAnsi="the Times New Roman" w:cs="Times New Roman"/>
          <w:sz w:val="24"/>
          <w:szCs w:val="24"/>
        </w:rPr>
        <w:t xml:space="preserve"> and sentence</w:t>
      </w:r>
      <w:r>
        <w:rPr>
          <w:rFonts w:ascii="the Times New Roman" w:hAnsi="the Times New Roman" w:cs="Times New Roman"/>
          <w:sz w:val="24"/>
          <w:szCs w:val="24"/>
        </w:rPr>
        <w:t xml:space="preserve">, no grounds of appeal against sentence were set </w:t>
      </w:r>
      <w:r w:rsidR="0059527B">
        <w:rPr>
          <w:rFonts w:ascii="the Times New Roman" w:hAnsi="the Times New Roman" w:cs="Times New Roman"/>
          <w:sz w:val="24"/>
          <w:szCs w:val="24"/>
        </w:rPr>
        <w:t>out. I shall therefore deal with the appeal against conviction only.</w:t>
      </w:r>
    </w:p>
    <w:p w14:paraId="3C29BAE1" w14:textId="4B499BEB" w:rsidR="00CB6D9A" w:rsidRDefault="00ED4E80" w:rsidP="0059527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lastRenderedPageBreak/>
        <w:t xml:space="preserve">The first, second, third and fourth grounds of appeal raise procedural irregularities. </w:t>
      </w:r>
      <w:r w:rsidR="00B8347F">
        <w:rPr>
          <w:rFonts w:ascii="the Times New Roman" w:hAnsi="the Times New Roman" w:cs="Times New Roman"/>
          <w:sz w:val="24"/>
          <w:szCs w:val="24"/>
        </w:rPr>
        <w:t xml:space="preserve">They raise that the applicant was not given time to prepare his for defence and that the trial court failed to comply with all procedural requirements during the trial. The law provides two procedures to impugn court proceedings. The appeal procedure and the review </w:t>
      </w:r>
      <w:r w:rsidR="00291384">
        <w:rPr>
          <w:rFonts w:ascii="the Times New Roman" w:hAnsi="the Times New Roman" w:cs="Times New Roman"/>
          <w:sz w:val="24"/>
          <w:szCs w:val="24"/>
        </w:rPr>
        <w:t>procedure. Although both procedures may result in the setting aside of the proceedings the appeal procedure addresses the substantive issues on the merits while the review procedure deals with procedural issues. Procedural</w:t>
      </w:r>
      <w:r>
        <w:rPr>
          <w:rFonts w:ascii="the Times New Roman" w:hAnsi="the Times New Roman" w:cs="Times New Roman"/>
          <w:sz w:val="24"/>
          <w:szCs w:val="24"/>
        </w:rPr>
        <w:t xml:space="preserve"> irregularities </w:t>
      </w:r>
      <w:r w:rsidR="00CB130C">
        <w:rPr>
          <w:rFonts w:ascii="the Times New Roman" w:hAnsi="the Times New Roman" w:cs="Times New Roman"/>
          <w:sz w:val="24"/>
          <w:szCs w:val="24"/>
        </w:rPr>
        <w:t xml:space="preserve">are </w:t>
      </w:r>
      <w:r>
        <w:rPr>
          <w:rFonts w:ascii="the Times New Roman" w:hAnsi="the Times New Roman" w:cs="Times New Roman"/>
          <w:sz w:val="24"/>
          <w:szCs w:val="24"/>
        </w:rPr>
        <w:t>a</w:t>
      </w:r>
      <w:r w:rsidR="008B1F8D">
        <w:rPr>
          <w:rFonts w:ascii="the Times New Roman" w:hAnsi="the Times New Roman" w:cs="Times New Roman"/>
          <w:sz w:val="24"/>
          <w:szCs w:val="24"/>
        </w:rPr>
        <w:t xml:space="preserve"> preserve of an application for review. </w:t>
      </w:r>
      <w:r w:rsidR="008B1F8D" w:rsidRPr="00CB130C">
        <w:rPr>
          <w:rFonts w:ascii="the Times New Roman" w:hAnsi="the Times New Roman" w:cs="Times New Roman"/>
          <w:iCs/>
          <w:sz w:val="24"/>
          <w:szCs w:val="24"/>
        </w:rPr>
        <w:t>Herbstein and Van Winsen</w:t>
      </w:r>
      <w:r w:rsidR="008B1F8D" w:rsidRPr="0012336D">
        <w:rPr>
          <w:rFonts w:ascii="the Times New Roman" w:hAnsi="the Times New Roman" w:cs="Times New Roman"/>
          <w:i/>
          <w:iCs/>
          <w:sz w:val="24"/>
          <w:szCs w:val="24"/>
        </w:rPr>
        <w:t xml:space="preserve">, </w:t>
      </w:r>
      <w:r w:rsidR="00291384">
        <w:rPr>
          <w:rFonts w:ascii="the Times New Roman" w:hAnsi="the Times New Roman" w:cs="Times New Roman"/>
          <w:iCs/>
          <w:sz w:val="24"/>
          <w:szCs w:val="24"/>
        </w:rPr>
        <w:t xml:space="preserve">in their book </w:t>
      </w:r>
      <w:r w:rsidR="008B1F8D" w:rsidRPr="0012336D">
        <w:rPr>
          <w:rFonts w:ascii="the Times New Roman" w:hAnsi="the Times New Roman" w:cs="Times New Roman"/>
          <w:i/>
          <w:iCs/>
          <w:sz w:val="24"/>
          <w:szCs w:val="24"/>
        </w:rPr>
        <w:t>Civil Procedure of the Supreme Court of South Africa fourth edition</w:t>
      </w:r>
      <w:r w:rsidR="008B1F8D">
        <w:rPr>
          <w:rFonts w:ascii="the Times New Roman" w:hAnsi="the Times New Roman" w:cs="Times New Roman"/>
          <w:sz w:val="24"/>
          <w:szCs w:val="24"/>
        </w:rPr>
        <w:t xml:space="preserve"> exp</w:t>
      </w:r>
      <w:r w:rsidR="00696202">
        <w:rPr>
          <w:rFonts w:ascii="the Times New Roman" w:hAnsi="the Times New Roman" w:cs="Times New Roman"/>
          <w:sz w:val="24"/>
          <w:szCs w:val="24"/>
        </w:rPr>
        <w:t>lain the distinction as follow</w:t>
      </w:r>
      <w:r w:rsidR="00291384">
        <w:rPr>
          <w:rFonts w:ascii="the Times New Roman" w:hAnsi="the Times New Roman" w:cs="Times New Roman"/>
          <w:sz w:val="24"/>
          <w:szCs w:val="24"/>
        </w:rPr>
        <w:t>s</w:t>
      </w:r>
      <w:r w:rsidR="00696202">
        <w:rPr>
          <w:rFonts w:ascii="the Times New Roman" w:hAnsi="the Times New Roman" w:cs="Times New Roman"/>
          <w:sz w:val="24"/>
          <w:szCs w:val="24"/>
        </w:rPr>
        <w:t>,</w:t>
      </w:r>
    </w:p>
    <w:p w14:paraId="68DBB11E" w14:textId="5DFD207B" w:rsidR="008B1F8D" w:rsidRDefault="008B1F8D" w:rsidP="00291384">
      <w:pPr>
        <w:spacing w:line="240" w:lineRule="auto"/>
        <w:ind w:left="720"/>
        <w:jc w:val="both"/>
        <w:rPr>
          <w:rFonts w:ascii="the Times New Roman" w:hAnsi="the Times New Roman" w:cs="Times New Roman"/>
        </w:rPr>
      </w:pPr>
      <w:r w:rsidRPr="00CB6D9A">
        <w:rPr>
          <w:rFonts w:ascii="the Times New Roman" w:hAnsi="the Times New Roman" w:cs="Times New Roman"/>
        </w:rPr>
        <w:t xml:space="preserve">“Where the reason for wanting the decision set aside that the court came to a wrong conclusion on the facts or the law, the appropriate procedure is by way of appeal. Where, however the real grievance is against the method of the trial, it </w:t>
      </w:r>
      <w:r w:rsidR="00291384">
        <w:rPr>
          <w:rFonts w:ascii="the Times New Roman" w:hAnsi="the Times New Roman" w:cs="Times New Roman"/>
        </w:rPr>
        <w:t>i</w:t>
      </w:r>
      <w:r w:rsidR="00851A15" w:rsidRPr="00CB6D9A">
        <w:rPr>
          <w:rFonts w:ascii="the Times New Roman" w:hAnsi="the Times New Roman" w:cs="Times New Roman"/>
        </w:rPr>
        <w:t>s proper to bring the case on review”</w:t>
      </w:r>
    </w:p>
    <w:p w14:paraId="52D3E7C6" w14:textId="3BD253C6" w:rsidR="00075BA3" w:rsidRPr="00075BA3" w:rsidRDefault="00075BA3" w:rsidP="00291384">
      <w:pPr>
        <w:spacing w:line="240" w:lineRule="auto"/>
        <w:ind w:left="720"/>
        <w:jc w:val="both"/>
        <w:rPr>
          <w:rFonts w:ascii="the Times New Roman" w:hAnsi="the Times New Roman" w:cs="Times New Roman"/>
          <w:sz w:val="24"/>
          <w:szCs w:val="24"/>
        </w:rPr>
      </w:pPr>
      <w:r w:rsidRPr="00075BA3">
        <w:rPr>
          <w:rFonts w:ascii="the Times New Roman" w:hAnsi="the Times New Roman" w:cs="Times New Roman"/>
          <w:sz w:val="24"/>
          <w:szCs w:val="24"/>
        </w:rPr>
        <w:t>See also</w:t>
      </w:r>
      <w:r>
        <w:rPr>
          <w:rFonts w:ascii="the Times New Roman" w:hAnsi="the Times New Roman" w:cs="Times New Roman"/>
          <w:sz w:val="24"/>
          <w:szCs w:val="24"/>
        </w:rPr>
        <w:t xml:space="preserve"> </w:t>
      </w:r>
      <w:r w:rsidRPr="00075BA3">
        <w:rPr>
          <w:rFonts w:ascii="the Times New Roman" w:hAnsi="the Times New Roman" w:cs="Times New Roman"/>
          <w:i/>
          <w:sz w:val="24"/>
          <w:szCs w:val="24"/>
        </w:rPr>
        <w:t>Pretoria Portland Cement Ltd v Competition Commission</w:t>
      </w:r>
      <w:r>
        <w:rPr>
          <w:rFonts w:ascii="the Times New Roman" w:hAnsi="the Times New Roman" w:cs="Times New Roman"/>
          <w:sz w:val="24"/>
          <w:szCs w:val="24"/>
        </w:rPr>
        <w:t xml:space="preserve"> 2003 (2) SA 385 SCA @35</w:t>
      </w:r>
      <w:r w:rsidRPr="00075BA3">
        <w:rPr>
          <w:rFonts w:ascii="the Times New Roman" w:hAnsi="the Times New Roman" w:cs="Times New Roman"/>
          <w:sz w:val="24"/>
          <w:szCs w:val="24"/>
        </w:rPr>
        <w:t xml:space="preserve"> </w:t>
      </w:r>
    </w:p>
    <w:p w14:paraId="63A30F3C" w14:textId="088A9BC3" w:rsidR="00851A15" w:rsidRDefault="00291384" w:rsidP="00291384">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It is highly undesirable to turn an appeal into a review thereby obliterating the line between the two procedures.</w:t>
      </w:r>
      <w:r w:rsidR="00E310BC">
        <w:rPr>
          <w:rFonts w:ascii="the Times New Roman" w:hAnsi="the Times New Roman" w:cs="Times New Roman"/>
          <w:sz w:val="24"/>
          <w:szCs w:val="24"/>
        </w:rPr>
        <w:t xml:space="preserve"> </w:t>
      </w:r>
      <w:r>
        <w:rPr>
          <w:rFonts w:ascii="the Times New Roman" w:hAnsi="the Times New Roman" w:cs="Times New Roman"/>
          <w:sz w:val="24"/>
          <w:szCs w:val="24"/>
        </w:rPr>
        <w:t>An appeal court can in deserving cases only invoke its review powers in an appeal</w:t>
      </w:r>
      <w:r w:rsidR="00E310BC">
        <w:rPr>
          <w:rFonts w:ascii="the Times New Roman" w:hAnsi="the Times New Roman" w:cs="Times New Roman"/>
          <w:sz w:val="24"/>
          <w:szCs w:val="24"/>
        </w:rPr>
        <w:t xml:space="preserve"> in terms of s29 (4) of the High Court Act (Chapter 7:06). This discretion is exercised in the interests of justice. That discretion is for the court or a Judge to exercise and not for a litigant to approach the court using an incorrect procedure. The</w:t>
      </w:r>
      <w:r w:rsidR="00851A15">
        <w:rPr>
          <w:rFonts w:ascii="the Times New Roman" w:hAnsi="the Times New Roman" w:cs="Times New Roman"/>
          <w:sz w:val="24"/>
          <w:szCs w:val="24"/>
        </w:rPr>
        <w:t xml:space="preserve"> four </w:t>
      </w:r>
      <w:r w:rsidR="0012336D">
        <w:rPr>
          <w:rFonts w:ascii="the Times New Roman" w:hAnsi="the Times New Roman" w:cs="Times New Roman"/>
          <w:sz w:val="24"/>
          <w:szCs w:val="24"/>
        </w:rPr>
        <w:t>grounds</w:t>
      </w:r>
      <w:r>
        <w:rPr>
          <w:rFonts w:ascii="the Times New Roman" w:hAnsi="the Times New Roman" w:cs="Times New Roman"/>
          <w:sz w:val="24"/>
          <w:szCs w:val="24"/>
        </w:rPr>
        <w:t xml:space="preserve"> of appeal would</w:t>
      </w:r>
      <w:r w:rsidR="00CB130C">
        <w:rPr>
          <w:rFonts w:ascii="the Times New Roman" w:hAnsi="the Times New Roman" w:cs="Times New Roman"/>
          <w:sz w:val="24"/>
          <w:szCs w:val="24"/>
        </w:rPr>
        <w:t xml:space="preserve"> therefore be improperly</w:t>
      </w:r>
      <w:r w:rsidR="00851A15">
        <w:rPr>
          <w:rFonts w:ascii="the Times New Roman" w:hAnsi="the Times New Roman" w:cs="Times New Roman"/>
          <w:sz w:val="24"/>
          <w:szCs w:val="24"/>
        </w:rPr>
        <w:t xml:space="preserve"> before the court and cannot succeed as grounds of appeal.</w:t>
      </w:r>
    </w:p>
    <w:p w14:paraId="5A796486" w14:textId="21B231EC" w:rsidR="00851A15" w:rsidRDefault="0027635F" w:rsidP="00291384">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The fifth, sixth and s</w:t>
      </w:r>
      <w:r w:rsidR="00CB130C">
        <w:rPr>
          <w:rFonts w:ascii="the Times New Roman" w:hAnsi="the Times New Roman" w:cs="Times New Roman"/>
          <w:sz w:val="24"/>
          <w:szCs w:val="24"/>
        </w:rPr>
        <w:t>eventh grounds of appeal impugn</w:t>
      </w:r>
      <w:r>
        <w:rPr>
          <w:rFonts w:ascii="the Times New Roman" w:hAnsi="the Times New Roman" w:cs="Times New Roman"/>
          <w:sz w:val="24"/>
          <w:szCs w:val="24"/>
        </w:rPr>
        <w:t xml:space="preserve"> the trial court’s </w:t>
      </w:r>
      <w:r w:rsidR="001C607D">
        <w:rPr>
          <w:rFonts w:ascii="the Times New Roman" w:hAnsi="the Times New Roman" w:cs="Times New Roman"/>
          <w:sz w:val="24"/>
          <w:szCs w:val="24"/>
        </w:rPr>
        <w:t>findings</w:t>
      </w:r>
      <w:r>
        <w:rPr>
          <w:rFonts w:ascii="the Times New Roman" w:hAnsi="the Times New Roman" w:cs="Times New Roman"/>
          <w:sz w:val="24"/>
          <w:szCs w:val="24"/>
        </w:rPr>
        <w:t xml:space="preserve"> on the credibility of the State witnesses.</w:t>
      </w:r>
      <w:r w:rsidR="00696202" w:rsidRPr="00696202">
        <w:rPr>
          <w:rFonts w:ascii="the Times New Roman" w:hAnsi="the Times New Roman" w:cs="Times New Roman"/>
          <w:sz w:val="24"/>
          <w:szCs w:val="24"/>
        </w:rPr>
        <w:t xml:space="preserve"> The grounds of appeal are unclear. </w:t>
      </w:r>
      <w:r>
        <w:rPr>
          <w:rFonts w:ascii="the Times New Roman" w:hAnsi="the Times New Roman" w:cs="Times New Roman"/>
          <w:sz w:val="24"/>
          <w:szCs w:val="24"/>
        </w:rPr>
        <w:t xml:space="preserve"> </w:t>
      </w:r>
      <w:r w:rsidR="00CB130C" w:rsidRPr="00CB130C">
        <w:rPr>
          <w:rFonts w:ascii="the Times New Roman" w:hAnsi="the Times New Roman" w:cs="Times New Roman"/>
          <w:sz w:val="24"/>
          <w:szCs w:val="24"/>
        </w:rPr>
        <w:t xml:space="preserve">It is trite that grounds of appeal must be clear and concise. There must be no rambling. For the unrepresented applicant as in this case the court can bend a bit if the rambling ground of appeal, at the end of it raises a point </w:t>
      </w:r>
      <w:r w:rsidR="00E310BC">
        <w:rPr>
          <w:rFonts w:ascii="the Times New Roman" w:hAnsi="the Times New Roman" w:cs="Times New Roman"/>
          <w:sz w:val="24"/>
          <w:szCs w:val="24"/>
        </w:rPr>
        <w:t>for consideration.</w:t>
      </w:r>
      <w:r w:rsidR="00CB130C" w:rsidRPr="00CB130C">
        <w:rPr>
          <w:rFonts w:ascii="the Times New Roman" w:hAnsi="the Times New Roman" w:cs="Times New Roman"/>
          <w:sz w:val="24"/>
          <w:szCs w:val="24"/>
        </w:rPr>
        <w:t xml:space="preserve"> This is done purely</w:t>
      </w:r>
      <w:r w:rsidR="00696202">
        <w:rPr>
          <w:rFonts w:ascii="the Times New Roman" w:hAnsi="the Times New Roman" w:cs="Times New Roman"/>
          <w:sz w:val="24"/>
          <w:szCs w:val="24"/>
        </w:rPr>
        <w:t xml:space="preserve"> to achieve the ends of justice. Although</w:t>
      </w:r>
      <w:r>
        <w:rPr>
          <w:rFonts w:ascii="the Times New Roman" w:hAnsi="the Times New Roman" w:cs="Times New Roman"/>
          <w:sz w:val="24"/>
          <w:szCs w:val="24"/>
        </w:rPr>
        <w:t xml:space="preserve"> the grounds of a</w:t>
      </w:r>
      <w:r w:rsidR="00E310BC">
        <w:rPr>
          <w:rFonts w:ascii="the Times New Roman" w:hAnsi="the Times New Roman" w:cs="Times New Roman"/>
          <w:sz w:val="24"/>
          <w:szCs w:val="24"/>
        </w:rPr>
        <w:t>ppeal are not clear,</w:t>
      </w:r>
      <w:r>
        <w:rPr>
          <w:rFonts w:ascii="the Times New Roman" w:hAnsi="the Times New Roman" w:cs="Times New Roman"/>
          <w:sz w:val="24"/>
          <w:szCs w:val="24"/>
        </w:rPr>
        <w:t xml:space="preserve"> something can be deciphered from </w:t>
      </w:r>
      <w:r w:rsidR="00696202">
        <w:rPr>
          <w:rFonts w:ascii="the Times New Roman" w:hAnsi="the Times New Roman" w:cs="Times New Roman"/>
          <w:sz w:val="24"/>
          <w:szCs w:val="24"/>
        </w:rPr>
        <w:t>them. I shall consider them.</w:t>
      </w:r>
    </w:p>
    <w:p w14:paraId="2E7DC319" w14:textId="644C6283" w:rsidR="00CF22CF" w:rsidRDefault="007E7411" w:rsidP="007E7411">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 xml:space="preserve">The grounds of appeal seem to raise issue with the delayed report, the inconsistencies in the state evidence and that the court accepted hearsay </w:t>
      </w:r>
      <w:r w:rsidR="00075BA3">
        <w:rPr>
          <w:rFonts w:ascii="the Times New Roman" w:hAnsi="the Times New Roman" w:cs="Times New Roman"/>
          <w:sz w:val="24"/>
          <w:szCs w:val="24"/>
        </w:rPr>
        <w:t xml:space="preserve">evidence. It is unclear which hearsay </w:t>
      </w:r>
      <w:r w:rsidR="00075BA3">
        <w:rPr>
          <w:rFonts w:ascii="the Times New Roman" w:hAnsi="the Times New Roman" w:cs="Times New Roman"/>
          <w:sz w:val="24"/>
          <w:szCs w:val="24"/>
        </w:rPr>
        <w:lastRenderedPageBreak/>
        <w:t>evidence the applicant referred to.</w:t>
      </w:r>
      <w:r>
        <w:rPr>
          <w:rFonts w:ascii="the Times New Roman" w:hAnsi="the Times New Roman" w:cs="Times New Roman"/>
          <w:sz w:val="24"/>
          <w:szCs w:val="24"/>
        </w:rPr>
        <w:t xml:space="preserve"> As</w:t>
      </w:r>
      <w:r w:rsidR="00B34D2A">
        <w:rPr>
          <w:rFonts w:ascii="the Times New Roman" w:hAnsi="the Times New Roman" w:cs="Times New Roman"/>
          <w:sz w:val="24"/>
          <w:szCs w:val="24"/>
        </w:rPr>
        <w:t xml:space="preserve"> already stated earlier in this judgment the trial court set out its reasons for accepting the State </w:t>
      </w:r>
      <w:r w:rsidR="001C607D">
        <w:rPr>
          <w:rFonts w:ascii="the Times New Roman" w:hAnsi="the Times New Roman" w:cs="Times New Roman"/>
          <w:sz w:val="24"/>
          <w:szCs w:val="24"/>
        </w:rPr>
        <w:t>witnesses</w:t>
      </w:r>
      <w:r w:rsidR="00B34D2A">
        <w:rPr>
          <w:rFonts w:ascii="the Times New Roman" w:hAnsi="the Times New Roman" w:cs="Times New Roman"/>
          <w:sz w:val="24"/>
          <w:szCs w:val="24"/>
        </w:rPr>
        <w:t xml:space="preserve">’ evidence. It cannot be </w:t>
      </w:r>
      <w:r>
        <w:rPr>
          <w:rFonts w:ascii="the Times New Roman" w:hAnsi="the Times New Roman" w:cs="Times New Roman"/>
          <w:sz w:val="24"/>
          <w:szCs w:val="24"/>
        </w:rPr>
        <w:t xml:space="preserve">faulted. </w:t>
      </w:r>
    </w:p>
    <w:p w14:paraId="453CB982" w14:textId="0F589252" w:rsidR="00B34D2A" w:rsidRDefault="00075BA3" w:rsidP="007E7411">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 xml:space="preserve">In case the applicant referred to hearsay evidence from Emaculate who received the report from the complainant, it is now acceptable that the hearsay is admissible. </w:t>
      </w:r>
      <w:r w:rsidR="00AF6048">
        <w:rPr>
          <w:rFonts w:ascii="the Times New Roman" w:hAnsi="the Times New Roman" w:cs="Times New Roman"/>
          <w:sz w:val="24"/>
          <w:szCs w:val="24"/>
        </w:rPr>
        <w:t>Generally,</w:t>
      </w:r>
      <w:r>
        <w:rPr>
          <w:rFonts w:ascii="the Times New Roman" w:hAnsi="the Times New Roman" w:cs="Times New Roman"/>
          <w:sz w:val="24"/>
          <w:szCs w:val="24"/>
        </w:rPr>
        <w:t xml:space="preserve"> under</w:t>
      </w:r>
      <w:r w:rsidR="007E7411">
        <w:rPr>
          <w:rFonts w:ascii="the Times New Roman" w:hAnsi="the Times New Roman" w:cs="Times New Roman"/>
          <w:sz w:val="24"/>
          <w:szCs w:val="24"/>
        </w:rPr>
        <w:t xml:space="preserve"> s253 (1) of the Criminal Procedure and Evid</w:t>
      </w:r>
      <w:r>
        <w:rPr>
          <w:rFonts w:ascii="the Times New Roman" w:hAnsi="the Times New Roman" w:cs="Times New Roman"/>
          <w:sz w:val="24"/>
          <w:szCs w:val="24"/>
        </w:rPr>
        <w:t xml:space="preserve">ence Act (Chapter 9:07) </w:t>
      </w:r>
      <w:r w:rsidR="007E7411">
        <w:rPr>
          <w:rFonts w:ascii="the Times New Roman" w:hAnsi="the Times New Roman" w:cs="Times New Roman"/>
          <w:sz w:val="24"/>
          <w:szCs w:val="24"/>
        </w:rPr>
        <w:t>hearsay evidence</w:t>
      </w:r>
      <w:r>
        <w:rPr>
          <w:rFonts w:ascii="the Times New Roman" w:hAnsi="the Times New Roman" w:cs="Times New Roman"/>
          <w:sz w:val="24"/>
          <w:szCs w:val="24"/>
        </w:rPr>
        <w:t xml:space="preserve"> is</w:t>
      </w:r>
      <w:r w:rsidR="007E7411">
        <w:rPr>
          <w:rFonts w:ascii="the Times New Roman" w:hAnsi="the Times New Roman" w:cs="Times New Roman"/>
          <w:sz w:val="24"/>
          <w:szCs w:val="24"/>
        </w:rPr>
        <w:t xml:space="preserve"> </w:t>
      </w:r>
      <w:r w:rsidR="00CF22CF">
        <w:rPr>
          <w:rFonts w:ascii="the Times New Roman" w:hAnsi="the Times New Roman" w:cs="Times New Roman"/>
          <w:sz w:val="24"/>
          <w:szCs w:val="24"/>
        </w:rPr>
        <w:t>inadmissible in court. The section is not cast in stone, there are exceptions to the rule. Evi</w:t>
      </w:r>
      <w:r>
        <w:rPr>
          <w:rFonts w:ascii="the Times New Roman" w:hAnsi="the Times New Roman" w:cs="Times New Roman"/>
          <w:sz w:val="24"/>
          <w:szCs w:val="24"/>
        </w:rPr>
        <w:t>dence by the person who received</w:t>
      </w:r>
      <w:r w:rsidR="00CF22CF">
        <w:rPr>
          <w:rFonts w:ascii="the Times New Roman" w:hAnsi="the Times New Roman" w:cs="Times New Roman"/>
          <w:sz w:val="24"/>
          <w:szCs w:val="24"/>
        </w:rPr>
        <w:t xml:space="preserve"> a complaint from the complainant in sexual offences for all intents and purposes is hearsay evidence, however it falls in one of the exceptions to the rule against </w:t>
      </w:r>
      <w:r>
        <w:rPr>
          <w:rFonts w:ascii="the Times New Roman" w:hAnsi="the Times New Roman" w:cs="Times New Roman"/>
          <w:sz w:val="24"/>
          <w:szCs w:val="24"/>
        </w:rPr>
        <w:t>hearsay. The</w:t>
      </w:r>
      <w:r w:rsidR="00CF22CF">
        <w:rPr>
          <w:rFonts w:ascii="the Times New Roman" w:hAnsi="the Times New Roman" w:cs="Times New Roman"/>
          <w:sz w:val="24"/>
          <w:szCs w:val="24"/>
        </w:rPr>
        <w:t xml:space="preserve"> trial court did not misdirect itself by accepting the hearsay evidence.</w:t>
      </w:r>
    </w:p>
    <w:p w14:paraId="45B8CB28" w14:textId="2A17B534" w:rsidR="006A6F8C" w:rsidRDefault="00075BA3" w:rsidP="00CF22CF">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Having set out the reasons for my decision l must comment on later developments after my decision. This</w:t>
      </w:r>
      <w:r w:rsidR="00764F81">
        <w:rPr>
          <w:rFonts w:ascii="the Times New Roman" w:hAnsi="the Times New Roman" w:cs="Times New Roman"/>
          <w:sz w:val="24"/>
          <w:szCs w:val="24"/>
        </w:rPr>
        <w:t xml:space="preserve"> matter was placed before me to provide reasons in November 2023 some 4 years after</w:t>
      </w:r>
      <w:r w:rsidR="008960F1">
        <w:rPr>
          <w:rFonts w:ascii="the Times New Roman" w:hAnsi="the Times New Roman" w:cs="Times New Roman"/>
          <w:sz w:val="24"/>
          <w:szCs w:val="24"/>
        </w:rPr>
        <w:t xml:space="preserve"> the order was issued.</w:t>
      </w:r>
      <w:r w:rsidR="006A6F8C">
        <w:rPr>
          <w:rFonts w:ascii="the Times New Roman" w:hAnsi="the Times New Roman" w:cs="Times New Roman"/>
          <w:sz w:val="24"/>
          <w:szCs w:val="24"/>
        </w:rPr>
        <w:t xml:space="preserve"> It appears some</w:t>
      </w:r>
      <w:r w:rsidR="00CF22CF">
        <w:rPr>
          <w:rFonts w:ascii="the Times New Roman" w:hAnsi="the Times New Roman" w:cs="Times New Roman"/>
          <w:sz w:val="24"/>
          <w:szCs w:val="24"/>
        </w:rPr>
        <w:t>thing happened in those 4 years. In</w:t>
      </w:r>
      <w:r w:rsidR="006A6F8C">
        <w:rPr>
          <w:rFonts w:ascii="the Times New Roman" w:hAnsi="the Times New Roman" w:cs="Times New Roman"/>
          <w:sz w:val="24"/>
          <w:szCs w:val="24"/>
        </w:rPr>
        <w:t xml:space="preserve"> the record </w:t>
      </w:r>
      <w:r w:rsidR="00696202">
        <w:rPr>
          <w:rFonts w:ascii="the Times New Roman" w:hAnsi="the Times New Roman" w:cs="Times New Roman"/>
          <w:sz w:val="24"/>
          <w:szCs w:val="24"/>
        </w:rPr>
        <w:t xml:space="preserve">I noticed that the applicant filed </w:t>
      </w:r>
      <w:r w:rsidR="006A6F8C">
        <w:rPr>
          <w:rFonts w:ascii="the Times New Roman" w:hAnsi="the Times New Roman" w:cs="Times New Roman"/>
          <w:sz w:val="24"/>
          <w:szCs w:val="24"/>
        </w:rPr>
        <w:t>another application to amend his application</w:t>
      </w:r>
      <w:r w:rsidR="00CF22CF">
        <w:rPr>
          <w:rFonts w:ascii="the Times New Roman" w:hAnsi="the Times New Roman" w:cs="Times New Roman"/>
          <w:sz w:val="24"/>
          <w:szCs w:val="24"/>
        </w:rPr>
        <w:t xml:space="preserve"> which l had already issued an order</w:t>
      </w:r>
      <w:r w:rsidR="006A6F8C">
        <w:rPr>
          <w:rFonts w:ascii="the Times New Roman" w:hAnsi="the Times New Roman" w:cs="Times New Roman"/>
          <w:sz w:val="24"/>
          <w:szCs w:val="24"/>
        </w:rPr>
        <w:t>. He attached</w:t>
      </w:r>
      <w:r w:rsidR="001C6B55">
        <w:rPr>
          <w:rFonts w:ascii="the Times New Roman" w:hAnsi="the Times New Roman" w:cs="Times New Roman"/>
          <w:sz w:val="24"/>
          <w:szCs w:val="24"/>
        </w:rPr>
        <w:t xml:space="preserve"> an affidavit sworn to by the </w:t>
      </w:r>
      <w:r w:rsidR="001C607D">
        <w:rPr>
          <w:rFonts w:ascii="the Times New Roman" w:hAnsi="the Times New Roman" w:cs="Times New Roman"/>
          <w:sz w:val="24"/>
          <w:szCs w:val="24"/>
        </w:rPr>
        <w:t>complainant</w:t>
      </w:r>
      <w:r w:rsidR="001C6B55">
        <w:rPr>
          <w:rFonts w:ascii="the Times New Roman" w:hAnsi="the Times New Roman" w:cs="Times New Roman"/>
          <w:sz w:val="24"/>
          <w:szCs w:val="24"/>
        </w:rPr>
        <w:t xml:space="preserve">. </w:t>
      </w:r>
      <w:r w:rsidR="00CF22CF">
        <w:rPr>
          <w:rFonts w:ascii="the Times New Roman" w:hAnsi="the Times New Roman" w:cs="Times New Roman"/>
          <w:sz w:val="24"/>
          <w:szCs w:val="24"/>
        </w:rPr>
        <w:t>In that affidavit the</w:t>
      </w:r>
      <w:r w:rsidR="001C6B55">
        <w:rPr>
          <w:rFonts w:ascii="the Times New Roman" w:hAnsi="the Times New Roman" w:cs="Times New Roman"/>
          <w:sz w:val="24"/>
          <w:szCs w:val="24"/>
        </w:rPr>
        <w:t xml:space="preserve"> </w:t>
      </w:r>
      <w:r w:rsidR="001C607D">
        <w:rPr>
          <w:rFonts w:ascii="the Times New Roman" w:hAnsi="the Times New Roman" w:cs="Times New Roman"/>
          <w:sz w:val="24"/>
          <w:szCs w:val="24"/>
        </w:rPr>
        <w:t>complainant</w:t>
      </w:r>
      <w:r w:rsidR="001C6B55">
        <w:rPr>
          <w:rFonts w:ascii="the Times New Roman" w:hAnsi="the Times New Roman" w:cs="Times New Roman"/>
          <w:sz w:val="24"/>
          <w:szCs w:val="24"/>
        </w:rPr>
        <w:t xml:space="preserve"> rec</w:t>
      </w:r>
      <w:r w:rsidR="00696202">
        <w:rPr>
          <w:rFonts w:ascii="the Times New Roman" w:hAnsi="the Times New Roman" w:cs="Times New Roman"/>
          <w:sz w:val="24"/>
          <w:szCs w:val="24"/>
        </w:rPr>
        <w:t>ant</w:t>
      </w:r>
      <w:r w:rsidR="00CF22CF">
        <w:rPr>
          <w:rFonts w:ascii="the Times New Roman" w:hAnsi="the Times New Roman" w:cs="Times New Roman"/>
          <w:sz w:val="24"/>
          <w:szCs w:val="24"/>
        </w:rPr>
        <w:t>ed</w:t>
      </w:r>
      <w:r w:rsidR="001C6B55">
        <w:rPr>
          <w:rFonts w:ascii="the Times New Roman" w:hAnsi="the Times New Roman" w:cs="Times New Roman"/>
          <w:sz w:val="24"/>
          <w:szCs w:val="24"/>
        </w:rPr>
        <w:t xml:space="preserve"> all that she said before the t</w:t>
      </w:r>
      <w:r w:rsidR="00CF22CF">
        <w:rPr>
          <w:rFonts w:ascii="the Times New Roman" w:hAnsi="the Times New Roman" w:cs="Times New Roman"/>
          <w:sz w:val="24"/>
          <w:szCs w:val="24"/>
        </w:rPr>
        <w:t>rial court and once again raised</w:t>
      </w:r>
      <w:r w:rsidR="001C6B55">
        <w:rPr>
          <w:rFonts w:ascii="the Times New Roman" w:hAnsi="the Times New Roman" w:cs="Times New Roman"/>
          <w:sz w:val="24"/>
          <w:szCs w:val="24"/>
        </w:rPr>
        <w:t xml:space="preserve"> persuasion by Emaculate her aunt. A police officer also attached an affidavit setting out what transpired.</w:t>
      </w:r>
    </w:p>
    <w:p w14:paraId="72DBFB53" w14:textId="0DFA8DF6" w:rsidR="00AB6447" w:rsidRDefault="00AB6447" w:rsidP="00CF22CF">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 xml:space="preserve">In </w:t>
      </w:r>
      <w:r w:rsidR="001C607D">
        <w:rPr>
          <w:rFonts w:ascii="the Times New Roman" w:hAnsi="the Times New Roman" w:cs="Times New Roman"/>
          <w:sz w:val="24"/>
          <w:szCs w:val="24"/>
        </w:rPr>
        <w:t>short,</w:t>
      </w:r>
      <w:r w:rsidR="00CF22CF">
        <w:rPr>
          <w:rFonts w:ascii="the Times New Roman" w:hAnsi="the Times New Roman" w:cs="Times New Roman"/>
          <w:sz w:val="24"/>
          <w:szCs w:val="24"/>
        </w:rPr>
        <w:t xml:space="preserve"> the officer</w:t>
      </w:r>
      <w:r>
        <w:rPr>
          <w:rFonts w:ascii="the Times New Roman" w:hAnsi="the Times New Roman" w:cs="Times New Roman"/>
          <w:sz w:val="24"/>
          <w:szCs w:val="24"/>
        </w:rPr>
        <w:t xml:space="preserve"> said</w:t>
      </w:r>
      <w:r w:rsidR="00CF22CF">
        <w:rPr>
          <w:rFonts w:ascii="the Times New Roman" w:hAnsi="the Times New Roman" w:cs="Times New Roman"/>
          <w:sz w:val="24"/>
          <w:szCs w:val="24"/>
        </w:rPr>
        <w:t xml:space="preserve"> the</w:t>
      </w:r>
      <w:r>
        <w:rPr>
          <w:rFonts w:ascii="the Times New Roman" w:hAnsi="the Times New Roman" w:cs="Times New Roman"/>
          <w:sz w:val="24"/>
          <w:szCs w:val="24"/>
        </w:rPr>
        <w:t xml:space="preserve"> </w:t>
      </w:r>
      <w:r w:rsidR="001C607D">
        <w:rPr>
          <w:rFonts w:ascii="the Times New Roman" w:hAnsi="the Times New Roman" w:cs="Times New Roman"/>
          <w:sz w:val="24"/>
          <w:szCs w:val="24"/>
        </w:rPr>
        <w:t>complainant</w:t>
      </w:r>
      <w:r>
        <w:rPr>
          <w:rFonts w:ascii="the Times New Roman" w:hAnsi="the Times New Roman" w:cs="Times New Roman"/>
          <w:sz w:val="24"/>
          <w:szCs w:val="24"/>
        </w:rPr>
        <w:t xml:space="preserve"> </w:t>
      </w:r>
      <w:r w:rsidR="00CF22CF">
        <w:rPr>
          <w:rFonts w:ascii="the Times New Roman" w:hAnsi="the Times New Roman" w:cs="Times New Roman"/>
          <w:sz w:val="24"/>
          <w:szCs w:val="24"/>
        </w:rPr>
        <w:t xml:space="preserve">stayed with Emaculate her aunt after the commission of the offence. One day she returned home </w:t>
      </w:r>
      <w:r w:rsidR="0080009B">
        <w:rPr>
          <w:rFonts w:ascii="the Times New Roman" w:hAnsi="the Times New Roman" w:cs="Times New Roman"/>
          <w:sz w:val="24"/>
          <w:szCs w:val="24"/>
        </w:rPr>
        <w:t>late. She</w:t>
      </w:r>
      <w:r>
        <w:rPr>
          <w:rFonts w:ascii="the Times New Roman" w:hAnsi="the Times New Roman" w:cs="Times New Roman"/>
          <w:sz w:val="24"/>
          <w:szCs w:val="24"/>
        </w:rPr>
        <w:t xml:space="preserve"> was chased from home. She went to live with her mother</w:t>
      </w:r>
      <w:r w:rsidR="00696202">
        <w:rPr>
          <w:rFonts w:ascii="the Times New Roman" w:hAnsi="the Times New Roman" w:cs="Times New Roman"/>
          <w:sz w:val="24"/>
          <w:szCs w:val="24"/>
        </w:rPr>
        <w:t xml:space="preserve"> who was married to the applicant</w:t>
      </w:r>
      <w:r>
        <w:rPr>
          <w:rFonts w:ascii="the Times New Roman" w:hAnsi="the Times New Roman" w:cs="Times New Roman"/>
          <w:sz w:val="24"/>
          <w:szCs w:val="24"/>
        </w:rPr>
        <w:t xml:space="preserve">. When she was at her mother’s </w:t>
      </w:r>
      <w:r w:rsidR="001C607D">
        <w:rPr>
          <w:rFonts w:ascii="the Times New Roman" w:hAnsi="the Times New Roman" w:cs="Times New Roman"/>
          <w:sz w:val="24"/>
          <w:szCs w:val="24"/>
        </w:rPr>
        <w:t>place,</w:t>
      </w:r>
      <w:r>
        <w:rPr>
          <w:rFonts w:ascii="the Times New Roman" w:hAnsi="the Times New Roman" w:cs="Times New Roman"/>
          <w:sz w:val="24"/>
          <w:szCs w:val="24"/>
        </w:rPr>
        <w:t xml:space="preserve"> she then </w:t>
      </w:r>
      <w:r w:rsidR="00696202">
        <w:rPr>
          <w:rFonts w:ascii="the Times New Roman" w:hAnsi="the Times New Roman" w:cs="Times New Roman"/>
          <w:sz w:val="24"/>
          <w:szCs w:val="24"/>
        </w:rPr>
        <w:t xml:space="preserve">filed the affidavit claiming that the aunt prevailed </w:t>
      </w:r>
      <w:r w:rsidR="00CF22CF">
        <w:rPr>
          <w:rFonts w:ascii="the Times New Roman" w:hAnsi="the Times New Roman" w:cs="Times New Roman"/>
          <w:sz w:val="24"/>
          <w:szCs w:val="24"/>
        </w:rPr>
        <w:t>upon</w:t>
      </w:r>
      <w:r w:rsidR="00696202">
        <w:rPr>
          <w:rFonts w:ascii="the Times New Roman" w:hAnsi="the Times New Roman" w:cs="Times New Roman"/>
          <w:sz w:val="24"/>
          <w:szCs w:val="24"/>
        </w:rPr>
        <w:t xml:space="preserve"> her </w:t>
      </w:r>
      <w:r>
        <w:rPr>
          <w:rFonts w:ascii="the Times New Roman" w:hAnsi="the Times New Roman" w:cs="Times New Roman"/>
          <w:sz w:val="24"/>
          <w:szCs w:val="24"/>
        </w:rPr>
        <w:t>to fals</w:t>
      </w:r>
      <w:r w:rsidR="00E749D4">
        <w:rPr>
          <w:rFonts w:ascii="the Times New Roman" w:hAnsi="the Times New Roman" w:cs="Times New Roman"/>
          <w:sz w:val="24"/>
          <w:szCs w:val="24"/>
        </w:rPr>
        <w:t>ely implicate the applicant.</w:t>
      </w:r>
    </w:p>
    <w:p w14:paraId="110C051B" w14:textId="43B5757D" w:rsidR="002F558C" w:rsidRDefault="002F558C" w:rsidP="0080009B">
      <w:pPr>
        <w:spacing w:line="360" w:lineRule="auto"/>
        <w:ind w:firstLine="720"/>
        <w:jc w:val="both"/>
        <w:rPr>
          <w:rFonts w:ascii="the Times New Roman" w:hAnsi="the Times New Roman" w:cs="Times New Roman"/>
          <w:sz w:val="24"/>
          <w:szCs w:val="24"/>
        </w:rPr>
      </w:pPr>
      <w:r>
        <w:rPr>
          <w:rFonts w:ascii="the Times New Roman" w:hAnsi="the Times New Roman" w:cs="Times New Roman"/>
          <w:sz w:val="24"/>
          <w:szCs w:val="24"/>
        </w:rPr>
        <w:t xml:space="preserve">Equipped with such information obviously the applicant would have wanted his case to be </w:t>
      </w:r>
      <w:r w:rsidR="0080009B">
        <w:rPr>
          <w:rFonts w:ascii="the Times New Roman" w:hAnsi="the Times New Roman" w:cs="Times New Roman"/>
          <w:sz w:val="24"/>
          <w:szCs w:val="24"/>
        </w:rPr>
        <w:t xml:space="preserve">heard. </w:t>
      </w:r>
      <w:r w:rsidR="008960F1">
        <w:rPr>
          <w:rFonts w:ascii="the Times New Roman" w:hAnsi="the Times New Roman" w:cs="Times New Roman"/>
          <w:sz w:val="24"/>
          <w:szCs w:val="24"/>
        </w:rPr>
        <w:t>He then filed</w:t>
      </w:r>
      <w:r w:rsidR="0080009B">
        <w:rPr>
          <w:rFonts w:ascii="the Times New Roman" w:hAnsi="the Times New Roman" w:cs="Times New Roman"/>
          <w:sz w:val="24"/>
          <w:szCs w:val="24"/>
        </w:rPr>
        <w:t xml:space="preserve"> </w:t>
      </w:r>
      <w:r w:rsidR="008960F1">
        <w:rPr>
          <w:rFonts w:ascii="the Times New Roman" w:hAnsi="the Times New Roman" w:cs="Times New Roman"/>
          <w:sz w:val="24"/>
          <w:szCs w:val="24"/>
        </w:rPr>
        <w:t>an</w:t>
      </w:r>
      <w:r w:rsidR="0080009B">
        <w:rPr>
          <w:rFonts w:ascii="the Times New Roman" w:hAnsi="the Times New Roman" w:cs="Times New Roman"/>
          <w:sz w:val="24"/>
          <w:szCs w:val="24"/>
        </w:rPr>
        <w:t xml:space="preserve"> application to amend the initial application which unfortunately had already been dismissed. </w:t>
      </w:r>
      <w:r w:rsidR="008960F1">
        <w:rPr>
          <w:rFonts w:ascii="the Times New Roman" w:hAnsi="the Times New Roman" w:cs="Times New Roman"/>
          <w:sz w:val="24"/>
          <w:szCs w:val="24"/>
        </w:rPr>
        <w:t xml:space="preserve">This is the tragedy that befalls unrepresented litigants. </w:t>
      </w:r>
      <w:r w:rsidR="00C01EC4">
        <w:rPr>
          <w:rFonts w:ascii="the Times New Roman" w:hAnsi="the Times New Roman" w:cs="Times New Roman"/>
          <w:sz w:val="24"/>
          <w:szCs w:val="24"/>
        </w:rPr>
        <w:t>Obviously,</w:t>
      </w:r>
      <w:r w:rsidR="0080009B">
        <w:rPr>
          <w:rFonts w:ascii="the Times New Roman" w:hAnsi="the Times New Roman" w:cs="Times New Roman"/>
          <w:sz w:val="24"/>
          <w:szCs w:val="24"/>
        </w:rPr>
        <w:t xml:space="preserve"> he needs proper legal advice to place his issues properly before the court. At this point I am constrained to consider the affidavits since when I made my decision, the</w:t>
      </w:r>
      <w:r w:rsidR="008960F1">
        <w:rPr>
          <w:rFonts w:ascii="the Times New Roman" w:hAnsi="the Times New Roman" w:cs="Times New Roman"/>
          <w:sz w:val="24"/>
          <w:szCs w:val="24"/>
        </w:rPr>
        <w:t xml:space="preserve"> affidavits were not before me. Had the affidavits been</w:t>
      </w:r>
      <w:r w:rsidR="0080009B">
        <w:rPr>
          <w:rFonts w:ascii="the Times New Roman" w:hAnsi="the Times New Roman" w:cs="Times New Roman"/>
          <w:sz w:val="24"/>
          <w:szCs w:val="24"/>
        </w:rPr>
        <w:t xml:space="preserve"> before me by then my decision would have been different. </w:t>
      </w:r>
      <w:r w:rsidR="002A0859">
        <w:rPr>
          <w:rFonts w:ascii="the Times New Roman" w:hAnsi="the Times New Roman" w:cs="Times New Roman"/>
          <w:sz w:val="24"/>
          <w:szCs w:val="24"/>
        </w:rPr>
        <w:t xml:space="preserve">I am now </w:t>
      </w:r>
      <w:r w:rsidR="002A0859" w:rsidRPr="002A0859">
        <w:rPr>
          <w:rFonts w:ascii="the Times New Roman" w:hAnsi="the Times New Roman" w:cs="Times New Roman"/>
          <w:i/>
          <w:sz w:val="24"/>
          <w:szCs w:val="24"/>
        </w:rPr>
        <w:t>functus officio</w:t>
      </w:r>
      <w:r w:rsidR="002A0859">
        <w:rPr>
          <w:rFonts w:ascii="the Times New Roman" w:hAnsi="the Times New Roman" w:cs="Times New Roman"/>
          <w:sz w:val="24"/>
          <w:szCs w:val="24"/>
        </w:rPr>
        <w:t xml:space="preserve"> l cannot </w:t>
      </w:r>
      <w:r w:rsidR="002A0859">
        <w:rPr>
          <w:rFonts w:ascii="the Times New Roman" w:hAnsi="the Times New Roman" w:cs="Times New Roman"/>
          <w:sz w:val="24"/>
          <w:szCs w:val="24"/>
        </w:rPr>
        <w:lastRenderedPageBreak/>
        <w:t>interfere with my decision. The</w:t>
      </w:r>
      <w:r w:rsidR="0080009B">
        <w:rPr>
          <w:rFonts w:ascii="the Times New Roman" w:hAnsi="the Times New Roman" w:cs="Times New Roman"/>
          <w:sz w:val="24"/>
          <w:szCs w:val="24"/>
        </w:rPr>
        <w:t xml:space="preserve"> view I express</w:t>
      </w:r>
      <w:r>
        <w:rPr>
          <w:rFonts w:ascii="the Times New Roman" w:hAnsi="the Times New Roman" w:cs="Times New Roman"/>
          <w:sz w:val="24"/>
          <w:szCs w:val="24"/>
        </w:rPr>
        <w:t xml:space="preserve"> do</w:t>
      </w:r>
      <w:r w:rsidR="008960F1">
        <w:rPr>
          <w:rFonts w:ascii="the Times New Roman" w:hAnsi="the Times New Roman" w:cs="Times New Roman"/>
          <w:sz w:val="24"/>
          <w:szCs w:val="24"/>
        </w:rPr>
        <w:t>es</w:t>
      </w:r>
      <w:r>
        <w:rPr>
          <w:rFonts w:ascii="the Times New Roman" w:hAnsi="the Times New Roman" w:cs="Times New Roman"/>
          <w:sz w:val="24"/>
          <w:szCs w:val="24"/>
        </w:rPr>
        <w:t xml:space="preserve"> not change the decision made. They are comments made in passing.</w:t>
      </w:r>
    </w:p>
    <w:p w14:paraId="0C369823" w14:textId="25772C5E" w:rsidR="00B810F9" w:rsidRDefault="002F558C" w:rsidP="004F665C">
      <w:pPr>
        <w:spacing w:line="360" w:lineRule="auto"/>
        <w:jc w:val="both"/>
        <w:rPr>
          <w:rFonts w:ascii="the Times New Roman" w:hAnsi="the Times New Roman" w:cs="Times New Roman"/>
          <w:sz w:val="24"/>
          <w:szCs w:val="24"/>
        </w:rPr>
      </w:pPr>
      <w:r>
        <w:rPr>
          <w:rFonts w:ascii="the Times New Roman" w:hAnsi="the Times New Roman" w:cs="Times New Roman"/>
          <w:sz w:val="24"/>
          <w:szCs w:val="24"/>
        </w:rPr>
        <w:t>Otherwise, for the said reasons I had to make the following order:</w:t>
      </w:r>
    </w:p>
    <w:p w14:paraId="2813D92D" w14:textId="77777777" w:rsidR="00B810F9" w:rsidRDefault="00B810F9" w:rsidP="004F665C">
      <w:pPr>
        <w:spacing w:line="360" w:lineRule="auto"/>
        <w:jc w:val="both"/>
        <w:rPr>
          <w:rFonts w:ascii="the Times New Roman" w:hAnsi="the Times New Roman" w:cs="Times New Roman"/>
          <w:sz w:val="24"/>
          <w:szCs w:val="24"/>
        </w:rPr>
      </w:pPr>
    </w:p>
    <w:p w14:paraId="222B585A" w14:textId="22180D53" w:rsidR="00946C50" w:rsidRPr="00946C50" w:rsidRDefault="002F558C" w:rsidP="002A2D82">
      <w:pPr>
        <w:spacing w:line="360" w:lineRule="auto"/>
        <w:jc w:val="both"/>
        <w:rPr>
          <w:rFonts w:ascii="the Times New Roman" w:hAnsi="the Times New Roman" w:cs="Times New Roman"/>
          <w:sz w:val="24"/>
          <w:szCs w:val="24"/>
        </w:rPr>
      </w:pPr>
      <w:r>
        <w:rPr>
          <w:rFonts w:ascii="the Times New Roman" w:hAnsi="the Times New Roman" w:cs="Times New Roman"/>
          <w:sz w:val="24"/>
          <w:szCs w:val="24"/>
        </w:rPr>
        <w:t>The application is dismissed.</w:t>
      </w:r>
    </w:p>
    <w:p w14:paraId="536F6FC6" w14:textId="751FED72" w:rsidR="00946C50" w:rsidRPr="00946C50" w:rsidRDefault="00946C50" w:rsidP="00946C50">
      <w:pPr>
        <w:tabs>
          <w:tab w:val="left" w:pos="1935"/>
        </w:tabs>
        <w:rPr>
          <w:rFonts w:ascii="the Times New Roman" w:hAnsi="the Times New Roman" w:cs="Times New Roman"/>
          <w:sz w:val="24"/>
          <w:szCs w:val="24"/>
        </w:rPr>
      </w:pPr>
      <w:r>
        <w:rPr>
          <w:rFonts w:ascii="the Times New Roman" w:hAnsi="the Times New Roman" w:cs="Times New Roman"/>
          <w:sz w:val="24"/>
          <w:szCs w:val="24"/>
        </w:rPr>
        <w:tab/>
      </w:r>
    </w:p>
    <w:sectPr w:rsidR="00946C50" w:rsidRPr="00946C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EFF8F" w14:textId="77777777" w:rsidR="001913B1" w:rsidRDefault="001913B1" w:rsidP="00A02D62">
      <w:pPr>
        <w:spacing w:after="0" w:line="240" w:lineRule="auto"/>
      </w:pPr>
      <w:r>
        <w:separator/>
      </w:r>
    </w:p>
  </w:endnote>
  <w:endnote w:type="continuationSeparator" w:id="0">
    <w:p w14:paraId="3918617A" w14:textId="77777777" w:rsidR="001913B1" w:rsidRDefault="001913B1" w:rsidP="00A0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 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2DEC" w14:textId="3ABAC22A" w:rsidR="00E310BC" w:rsidRDefault="00E310BC">
    <w:pPr>
      <w:pStyle w:val="Footer"/>
    </w:pPr>
  </w:p>
  <w:p w14:paraId="15E10D4F" w14:textId="77777777" w:rsidR="00E310BC" w:rsidRDefault="00E310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684D4" w14:textId="77777777" w:rsidR="001913B1" w:rsidRDefault="001913B1" w:rsidP="00A02D62">
      <w:pPr>
        <w:spacing w:after="0" w:line="240" w:lineRule="auto"/>
      </w:pPr>
      <w:r>
        <w:separator/>
      </w:r>
    </w:p>
  </w:footnote>
  <w:footnote w:type="continuationSeparator" w:id="0">
    <w:p w14:paraId="5C09A1BC" w14:textId="77777777" w:rsidR="001913B1" w:rsidRDefault="001913B1" w:rsidP="00A0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84576"/>
      <w:docPartObj>
        <w:docPartGallery w:val="Page Numbers (Top of Page)"/>
        <w:docPartUnique/>
      </w:docPartObj>
    </w:sdtPr>
    <w:sdtEndPr>
      <w:rPr>
        <w:noProof/>
      </w:rPr>
    </w:sdtEndPr>
    <w:sdtContent>
      <w:p w14:paraId="27D23FE7" w14:textId="7672141B" w:rsidR="00E310BC" w:rsidRDefault="00E310BC">
        <w:pPr>
          <w:pStyle w:val="Header"/>
          <w:jc w:val="right"/>
          <w:rPr>
            <w:noProof/>
            <w:sz w:val="24"/>
            <w:szCs w:val="24"/>
          </w:rPr>
        </w:pPr>
        <w:r w:rsidRPr="00A02D62">
          <w:rPr>
            <w:sz w:val="24"/>
            <w:szCs w:val="24"/>
          </w:rPr>
          <w:fldChar w:fldCharType="begin"/>
        </w:r>
        <w:r w:rsidRPr="00A02D62">
          <w:rPr>
            <w:sz w:val="24"/>
            <w:szCs w:val="24"/>
          </w:rPr>
          <w:instrText xml:space="preserve"> PAGE   \* MERGEFORMAT </w:instrText>
        </w:r>
        <w:r w:rsidRPr="00A02D62">
          <w:rPr>
            <w:sz w:val="24"/>
            <w:szCs w:val="24"/>
          </w:rPr>
          <w:fldChar w:fldCharType="separate"/>
        </w:r>
        <w:r w:rsidR="00D3046F">
          <w:rPr>
            <w:noProof/>
            <w:sz w:val="24"/>
            <w:szCs w:val="24"/>
          </w:rPr>
          <w:t>1</w:t>
        </w:r>
        <w:r w:rsidRPr="00A02D62">
          <w:rPr>
            <w:noProof/>
            <w:sz w:val="24"/>
            <w:szCs w:val="24"/>
          </w:rPr>
          <w:fldChar w:fldCharType="end"/>
        </w:r>
      </w:p>
      <w:p w14:paraId="3360427C" w14:textId="646F9E2A" w:rsidR="00FE1BBE" w:rsidRDefault="00FE1BBE">
        <w:pPr>
          <w:pStyle w:val="Header"/>
          <w:jc w:val="right"/>
          <w:rPr>
            <w:noProof/>
            <w:sz w:val="24"/>
            <w:szCs w:val="24"/>
          </w:rPr>
        </w:pPr>
        <w:r>
          <w:rPr>
            <w:noProof/>
            <w:sz w:val="24"/>
            <w:szCs w:val="24"/>
          </w:rPr>
          <w:t>HH 665</w:t>
        </w:r>
        <w:r w:rsidR="000179E5">
          <w:rPr>
            <w:noProof/>
            <w:sz w:val="24"/>
            <w:szCs w:val="24"/>
          </w:rPr>
          <w:t>-</w:t>
        </w:r>
        <w:r>
          <w:rPr>
            <w:noProof/>
            <w:sz w:val="24"/>
            <w:szCs w:val="24"/>
          </w:rPr>
          <w:t>23</w:t>
        </w:r>
      </w:p>
      <w:p w14:paraId="01D4378A" w14:textId="0167CACB" w:rsidR="00AF6048" w:rsidRDefault="00AF6048">
        <w:pPr>
          <w:pStyle w:val="Header"/>
          <w:jc w:val="right"/>
          <w:rPr>
            <w:noProof/>
            <w:sz w:val="24"/>
            <w:szCs w:val="24"/>
          </w:rPr>
        </w:pPr>
        <w:r>
          <w:rPr>
            <w:noProof/>
            <w:sz w:val="24"/>
            <w:szCs w:val="24"/>
          </w:rPr>
          <w:t>REF: CON 101/19</w:t>
        </w:r>
      </w:p>
      <w:p w14:paraId="06251117" w14:textId="54A4864B" w:rsidR="00AF6048" w:rsidRPr="00A02D62" w:rsidRDefault="00AF6048">
        <w:pPr>
          <w:pStyle w:val="Header"/>
          <w:jc w:val="right"/>
          <w:rPr>
            <w:noProof/>
            <w:sz w:val="24"/>
            <w:szCs w:val="24"/>
          </w:rPr>
        </w:pPr>
        <w:r>
          <w:rPr>
            <w:noProof/>
            <w:sz w:val="24"/>
            <w:szCs w:val="24"/>
          </w:rPr>
          <w:t>CRB: MRWR 149/13</w:t>
        </w:r>
      </w:p>
      <w:p w14:paraId="392362B8" w14:textId="473682BD" w:rsidR="00E310BC" w:rsidRDefault="001913B1">
        <w:pPr>
          <w:pStyle w:val="Header"/>
          <w:jc w:val="right"/>
        </w:pPr>
      </w:p>
    </w:sdtContent>
  </w:sdt>
  <w:p w14:paraId="7DC07DF5" w14:textId="77777777" w:rsidR="00E310BC" w:rsidRDefault="00E310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94B"/>
    <w:multiLevelType w:val="hybridMultilevel"/>
    <w:tmpl w:val="9D34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2628B"/>
    <w:multiLevelType w:val="hybridMultilevel"/>
    <w:tmpl w:val="9798155A"/>
    <w:lvl w:ilvl="0" w:tplc="F44A4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B57F78"/>
    <w:multiLevelType w:val="hybridMultilevel"/>
    <w:tmpl w:val="D788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B5D71"/>
    <w:multiLevelType w:val="hybridMultilevel"/>
    <w:tmpl w:val="E8848DD6"/>
    <w:lvl w:ilvl="0" w:tplc="B17A3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242843"/>
    <w:multiLevelType w:val="hybridMultilevel"/>
    <w:tmpl w:val="B63E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EA"/>
    <w:rsid w:val="00007161"/>
    <w:rsid w:val="000179E5"/>
    <w:rsid w:val="00022532"/>
    <w:rsid w:val="00022DA8"/>
    <w:rsid w:val="0002474F"/>
    <w:rsid w:val="00027649"/>
    <w:rsid w:val="00037D04"/>
    <w:rsid w:val="000561E7"/>
    <w:rsid w:val="00075BA3"/>
    <w:rsid w:val="00076E16"/>
    <w:rsid w:val="0008755E"/>
    <w:rsid w:val="000910B2"/>
    <w:rsid w:val="000A62BA"/>
    <w:rsid w:val="000B4C96"/>
    <w:rsid w:val="000D22EB"/>
    <w:rsid w:val="000D72CD"/>
    <w:rsid w:val="00105ED4"/>
    <w:rsid w:val="00111783"/>
    <w:rsid w:val="00114CFC"/>
    <w:rsid w:val="001156A2"/>
    <w:rsid w:val="0012336D"/>
    <w:rsid w:val="00135CE1"/>
    <w:rsid w:val="001507B8"/>
    <w:rsid w:val="001543F9"/>
    <w:rsid w:val="00161754"/>
    <w:rsid w:val="00161F2B"/>
    <w:rsid w:val="00171E20"/>
    <w:rsid w:val="001913B1"/>
    <w:rsid w:val="001C607D"/>
    <w:rsid w:val="001C6B55"/>
    <w:rsid w:val="001F18B5"/>
    <w:rsid w:val="001F54C4"/>
    <w:rsid w:val="001F6B49"/>
    <w:rsid w:val="00205B17"/>
    <w:rsid w:val="00221861"/>
    <w:rsid w:val="00226D16"/>
    <w:rsid w:val="002333A9"/>
    <w:rsid w:val="00247CD0"/>
    <w:rsid w:val="002656DC"/>
    <w:rsid w:val="00267222"/>
    <w:rsid w:val="0027635F"/>
    <w:rsid w:val="002767FC"/>
    <w:rsid w:val="00287A3D"/>
    <w:rsid w:val="00291384"/>
    <w:rsid w:val="002A0859"/>
    <w:rsid w:val="002A2D82"/>
    <w:rsid w:val="002A4931"/>
    <w:rsid w:val="002A5448"/>
    <w:rsid w:val="002D738C"/>
    <w:rsid w:val="002F0344"/>
    <w:rsid w:val="002F558C"/>
    <w:rsid w:val="00325FC9"/>
    <w:rsid w:val="00336025"/>
    <w:rsid w:val="00363972"/>
    <w:rsid w:val="003869DF"/>
    <w:rsid w:val="003B5FEA"/>
    <w:rsid w:val="003D0CAC"/>
    <w:rsid w:val="003E7BCD"/>
    <w:rsid w:val="003E7DCE"/>
    <w:rsid w:val="004026E9"/>
    <w:rsid w:val="00437DBB"/>
    <w:rsid w:val="0045055B"/>
    <w:rsid w:val="00485D33"/>
    <w:rsid w:val="004917EB"/>
    <w:rsid w:val="004B4D35"/>
    <w:rsid w:val="004B7C9C"/>
    <w:rsid w:val="004F665C"/>
    <w:rsid w:val="00523A6D"/>
    <w:rsid w:val="00562F31"/>
    <w:rsid w:val="00580DC3"/>
    <w:rsid w:val="005831CA"/>
    <w:rsid w:val="0058374F"/>
    <w:rsid w:val="0059527B"/>
    <w:rsid w:val="005F2A0F"/>
    <w:rsid w:val="005F60A9"/>
    <w:rsid w:val="00650FB7"/>
    <w:rsid w:val="0066391E"/>
    <w:rsid w:val="006870DB"/>
    <w:rsid w:val="00696202"/>
    <w:rsid w:val="006A6F8C"/>
    <w:rsid w:val="006D1A48"/>
    <w:rsid w:val="006E0FFA"/>
    <w:rsid w:val="00721D22"/>
    <w:rsid w:val="00745FBA"/>
    <w:rsid w:val="00764F81"/>
    <w:rsid w:val="00765D3C"/>
    <w:rsid w:val="00774E44"/>
    <w:rsid w:val="00780738"/>
    <w:rsid w:val="00787AF3"/>
    <w:rsid w:val="00792963"/>
    <w:rsid w:val="00795ED6"/>
    <w:rsid w:val="007C4869"/>
    <w:rsid w:val="007C48CC"/>
    <w:rsid w:val="007C7374"/>
    <w:rsid w:val="007D52C1"/>
    <w:rsid w:val="007E2BBC"/>
    <w:rsid w:val="007E7175"/>
    <w:rsid w:val="007E7411"/>
    <w:rsid w:val="0080009B"/>
    <w:rsid w:val="0084665F"/>
    <w:rsid w:val="00851A15"/>
    <w:rsid w:val="00880263"/>
    <w:rsid w:val="008960F1"/>
    <w:rsid w:val="008A24E1"/>
    <w:rsid w:val="008B1F8D"/>
    <w:rsid w:val="008C29C2"/>
    <w:rsid w:val="008E2A3D"/>
    <w:rsid w:val="008F540B"/>
    <w:rsid w:val="008F7684"/>
    <w:rsid w:val="00900F92"/>
    <w:rsid w:val="00913251"/>
    <w:rsid w:val="00940AE5"/>
    <w:rsid w:val="00944973"/>
    <w:rsid w:val="00944C2B"/>
    <w:rsid w:val="00946C50"/>
    <w:rsid w:val="00983004"/>
    <w:rsid w:val="009A2327"/>
    <w:rsid w:val="009A35AC"/>
    <w:rsid w:val="009B49CC"/>
    <w:rsid w:val="009C7AF1"/>
    <w:rsid w:val="009D5477"/>
    <w:rsid w:val="00A02D62"/>
    <w:rsid w:val="00A062AC"/>
    <w:rsid w:val="00A101C7"/>
    <w:rsid w:val="00A2777D"/>
    <w:rsid w:val="00A470B5"/>
    <w:rsid w:val="00A71DB3"/>
    <w:rsid w:val="00A96EC0"/>
    <w:rsid w:val="00AA1178"/>
    <w:rsid w:val="00AB6447"/>
    <w:rsid w:val="00AC5A00"/>
    <w:rsid w:val="00AE21D5"/>
    <w:rsid w:val="00AE5137"/>
    <w:rsid w:val="00AF6048"/>
    <w:rsid w:val="00B04AE4"/>
    <w:rsid w:val="00B307F4"/>
    <w:rsid w:val="00B34D2A"/>
    <w:rsid w:val="00B51E66"/>
    <w:rsid w:val="00B532C0"/>
    <w:rsid w:val="00B5532A"/>
    <w:rsid w:val="00B810F9"/>
    <w:rsid w:val="00B8347F"/>
    <w:rsid w:val="00B9373A"/>
    <w:rsid w:val="00B937BC"/>
    <w:rsid w:val="00BA1BAD"/>
    <w:rsid w:val="00BB5AB6"/>
    <w:rsid w:val="00BD4F63"/>
    <w:rsid w:val="00BD5C67"/>
    <w:rsid w:val="00BE39A5"/>
    <w:rsid w:val="00C001B1"/>
    <w:rsid w:val="00C01EC4"/>
    <w:rsid w:val="00C12155"/>
    <w:rsid w:val="00C30FF2"/>
    <w:rsid w:val="00C32FE3"/>
    <w:rsid w:val="00C413CC"/>
    <w:rsid w:val="00C73B3F"/>
    <w:rsid w:val="00CB100E"/>
    <w:rsid w:val="00CB130C"/>
    <w:rsid w:val="00CB4772"/>
    <w:rsid w:val="00CB6D9A"/>
    <w:rsid w:val="00CC71F0"/>
    <w:rsid w:val="00CD1631"/>
    <w:rsid w:val="00CE4C1B"/>
    <w:rsid w:val="00CF22CF"/>
    <w:rsid w:val="00D3046F"/>
    <w:rsid w:val="00D35D71"/>
    <w:rsid w:val="00D3607D"/>
    <w:rsid w:val="00D60C84"/>
    <w:rsid w:val="00D66249"/>
    <w:rsid w:val="00D672A8"/>
    <w:rsid w:val="00D74C63"/>
    <w:rsid w:val="00DB066B"/>
    <w:rsid w:val="00DB2EC3"/>
    <w:rsid w:val="00DE2F88"/>
    <w:rsid w:val="00DF6570"/>
    <w:rsid w:val="00E00145"/>
    <w:rsid w:val="00E03958"/>
    <w:rsid w:val="00E051A4"/>
    <w:rsid w:val="00E310BC"/>
    <w:rsid w:val="00E32124"/>
    <w:rsid w:val="00E32D8D"/>
    <w:rsid w:val="00E47E5C"/>
    <w:rsid w:val="00E749D4"/>
    <w:rsid w:val="00E7755B"/>
    <w:rsid w:val="00E80678"/>
    <w:rsid w:val="00ED4E80"/>
    <w:rsid w:val="00F02850"/>
    <w:rsid w:val="00F15797"/>
    <w:rsid w:val="00F235EF"/>
    <w:rsid w:val="00F413CB"/>
    <w:rsid w:val="00F47FAC"/>
    <w:rsid w:val="00F6056E"/>
    <w:rsid w:val="00F62DEA"/>
    <w:rsid w:val="00F708A8"/>
    <w:rsid w:val="00FA46A3"/>
    <w:rsid w:val="00FA5FB9"/>
    <w:rsid w:val="00FE1BBE"/>
    <w:rsid w:val="00FE2C46"/>
    <w:rsid w:val="00FF0E8D"/>
    <w:rsid w:val="00FF5DEF"/>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CE571"/>
  <w15:docId w15:val="{EBBDA75D-2910-4FCD-A4A9-CBD5077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DEA"/>
    <w:pPr>
      <w:ind w:left="720"/>
      <w:contextualSpacing/>
    </w:pPr>
  </w:style>
  <w:style w:type="paragraph" w:styleId="Header">
    <w:name w:val="header"/>
    <w:basedOn w:val="Normal"/>
    <w:link w:val="HeaderChar"/>
    <w:uiPriority w:val="99"/>
    <w:unhideWhenUsed/>
    <w:rsid w:val="00A02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D62"/>
  </w:style>
  <w:style w:type="paragraph" w:styleId="Footer">
    <w:name w:val="footer"/>
    <w:basedOn w:val="Normal"/>
    <w:link w:val="FooterChar"/>
    <w:uiPriority w:val="99"/>
    <w:unhideWhenUsed/>
    <w:rsid w:val="00A02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D62"/>
  </w:style>
  <w:style w:type="paragraph" w:styleId="FootnoteText">
    <w:name w:val="footnote text"/>
    <w:basedOn w:val="Normal"/>
    <w:link w:val="FootnoteTextChar"/>
    <w:uiPriority w:val="99"/>
    <w:unhideWhenUsed/>
    <w:rsid w:val="00AB6447"/>
    <w:pPr>
      <w:spacing w:after="0" w:line="240" w:lineRule="auto"/>
    </w:pPr>
    <w:rPr>
      <w:sz w:val="20"/>
      <w:szCs w:val="20"/>
      <w:lang w:val="en-ZW"/>
    </w:rPr>
  </w:style>
  <w:style w:type="character" w:customStyle="1" w:styleId="FootnoteTextChar">
    <w:name w:val="Footnote Text Char"/>
    <w:basedOn w:val="DefaultParagraphFont"/>
    <w:link w:val="FootnoteText"/>
    <w:uiPriority w:val="99"/>
    <w:rsid w:val="00AB6447"/>
    <w:rPr>
      <w:sz w:val="20"/>
      <w:szCs w:val="20"/>
      <w:lang w:val="en-ZW"/>
    </w:rPr>
  </w:style>
  <w:style w:type="character" w:styleId="FootnoteReference">
    <w:name w:val="footnote reference"/>
    <w:basedOn w:val="DefaultParagraphFont"/>
    <w:uiPriority w:val="99"/>
    <w:semiHidden/>
    <w:unhideWhenUsed/>
    <w:rsid w:val="00AB64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Munjanja</dc:creator>
  <cp:keywords/>
  <dc:description/>
  <cp:lastModifiedBy>JSC</cp:lastModifiedBy>
  <cp:revision>2</cp:revision>
  <dcterms:created xsi:type="dcterms:W3CDTF">2023-12-21T07:48:00Z</dcterms:created>
  <dcterms:modified xsi:type="dcterms:W3CDTF">2023-12-21T07:48:00Z</dcterms:modified>
</cp:coreProperties>
</file>