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546" w14:textId="77777777" w:rsidR="00394834" w:rsidRDefault="00394834" w:rsidP="00394834">
      <w:pPr>
        <w:jc w:val="both"/>
      </w:pPr>
    </w:p>
    <w:p w14:paraId="4D553E75" w14:textId="77777777" w:rsidR="00394834" w:rsidRDefault="00394834" w:rsidP="00394834">
      <w:pPr>
        <w:jc w:val="both"/>
      </w:pPr>
    </w:p>
    <w:p w14:paraId="5A49F8E7" w14:textId="797E13C8" w:rsidR="00394834" w:rsidRDefault="008138BA" w:rsidP="00394834">
      <w:pPr>
        <w:jc w:val="both"/>
      </w:pPr>
      <w:r>
        <w:t>SHEPH</w:t>
      </w:r>
      <w:r w:rsidR="00BD0ADE">
        <w:t>A</w:t>
      </w:r>
      <w:r>
        <w:t>RD TUNDIYA</w:t>
      </w:r>
    </w:p>
    <w:p w14:paraId="62DE8D0F" w14:textId="77777777" w:rsidR="00394834" w:rsidRDefault="008138BA" w:rsidP="00394834">
      <w:pPr>
        <w:jc w:val="both"/>
      </w:pPr>
      <w:r>
        <w:t>v</w:t>
      </w:r>
    </w:p>
    <w:p w14:paraId="0ED65BCF" w14:textId="77777777" w:rsidR="00394834" w:rsidRDefault="008138BA" w:rsidP="00394834">
      <w:pPr>
        <w:jc w:val="both"/>
      </w:pPr>
      <w:r>
        <w:t>ESTATE LATE IDAH TANDIWE MANGWAIRA</w:t>
      </w:r>
    </w:p>
    <w:p w14:paraId="508CC221" w14:textId="77777777" w:rsidR="008138BA" w:rsidRDefault="008138BA" w:rsidP="00394834">
      <w:pPr>
        <w:jc w:val="both"/>
      </w:pPr>
      <w:r>
        <w:t xml:space="preserve">(Represented by Sanra Felistas Shonhiwa, the Executor) </w:t>
      </w:r>
    </w:p>
    <w:p w14:paraId="43005317" w14:textId="77777777" w:rsidR="00394834" w:rsidRPr="00B017EC" w:rsidRDefault="00394834" w:rsidP="00394834">
      <w:pPr>
        <w:jc w:val="both"/>
      </w:pPr>
    </w:p>
    <w:p w14:paraId="7E8070CB" w14:textId="77777777" w:rsidR="00394834" w:rsidRDefault="00394834" w:rsidP="00394834">
      <w:pPr>
        <w:jc w:val="both"/>
      </w:pPr>
    </w:p>
    <w:p w14:paraId="20741AFA" w14:textId="77777777" w:rsidR="00394834" w:rsidRDefault="00394834" w:rsidP="00394834">
      <w:pPr>
        <w:jc w:val="both"/>
      </w:pPr>
    </w:p>
    <w:p w14:paraId="096044D5" w14:textId="77777777" w:rsidR="00394834" w:rsidRPr="00B017EC" w:rsidRDefault="00394834" w:rsidP="00394834">
      <w:pPr>
        <w:jc w:val="both"/>
      </w:pPr>
    </w:p>
    <w:p w14:paraId="4D3D607E" w14:textId="77777777" w:rsidR="00394834" w:rsidRPr="00B017EC" w:rsidRDefault="00394834" w:rsidP="00394834">
      <w:pPr>
        <w:jc w:val="both"/>
      </w:pPr>
      <w:r w:rsidRPr="00B017EC">
        <w:t xml:space="preserve">HIGH COURT OF ZIMBABWE </w:t>
      </w:r>
    </w:p>
    <w:p w14:paraId="46AB95B1" w14:textId="77777777" w:rsidR="00394834" w:rsidRPr="00B017EC" w:rsidRDefault="008138BA" w:rsidP="00394834">
      <w:pPr>
        <w:jc w:val="both"/>
      </w:pPr>
      <w:r>
        <w:t xml:space="preserve">MAWADZE J &amp; </w:t>
      </w:r>
      <w:r w:rsidR="00394834">
        <w:t>ZISENGWE J</w:t>
      </w:r>
    </w:p>
    <w:p w14:paraId="3F9A91ED" w14:textId="77777777" w:rsidR="00394834" w:rsidRDefault="008138BA" w:rsidP="00394834">
      <w:pPr>
        <w:jc w:val="both"/>
      </w:pPr>
      <w:r>
        <w:t>MASVINGO, 20 September 2023</w:t>
      </w:r>
    </w:p>
    <w:p w14:paraId="27DCF6C8" w14:textId="77777777" w:rsidR="008138BA" w:rsidRDefault="008138BA" w:rsidP="00394834">
      <w:pPr>
        <w:jc w:val="both"/>
      </w:pPr>
      <w:r>
        <w:t>Written reasons provided on 27 October 2023</w:t>
      </w:r>
    </w:p>
    <w:p w14:paraId="62F42DA5" w14:textId="77777777" w:rsidR="00394834" w:rsidRDefault="00394834" w:rsidP="00394834">
      <w:pPr>
        <w:jc w:val="both"/>
      </w:pPr>
    </w:p>
    <w:p w14:paraId="4C880EB9" w14:textId="77777777" w:rsidR="00394834" w:rsidRDefault="00394834" w:rsidP="00394834">
      <w:pPr>
        <w:jc w:val="both"/>
      </w:pPr>
    </w:p>
    <w:p w14:paraId="1AA9ABBF" w14:textId="77777777" w:rsidR="00394834" w:rsidRDefault="00394834" w:rsidP="00394834">
      <w:pPr>
        <w:jc w:val="both"/>
      </w:pPr>
    </w:p>
    <w:p w14:paraId="7A2E7E5F" w14:textId="77777777" w:rsidR="00394834" w:rsidRDefault="008138BA" w:rsidP="00394834">
      <w:pPr>
        <w:jc w:val="both"/>
      </w:pPr>
      <w:r>
        <w:rPr>
          <w:i/>
        </w:rPr>
        <w:t xml:space="preserve">E Zishiri </w:t>
      </w:r>
      <w:r w:rsidR="00394834">
        <w:t>for the appellant</w:t>
      </w:r>
    </w:p>
    <w:p w14:paraId="64B3075C" w14:textId="00762E1F" w:rsidR="00394834" w:rsidRPr="00B017EC" w:rsidRDefault="008138BA" w:rsidP="00394834">
      <w:pPr>
        <w:jc w:val="both"/>
      </w:pPr>
      <w:proofErr w:type="spellStart"/>
      <w:r>
        <w:rPr>
          <w:i/>
        </w:rPr>
        <w:t>M</w:t>
      </w:r>
      <w:r w:rsidR="00BD0ADE">
        <w:rPr>
          <w:i/>
        </w:rPr>
        <w:t>a</w:t>
      </w:r>
      <w:r>
        <w:rPr>
          <w:i/>
        </w:rPr>
        <w:t>pis</w:t>
      </w:r>
      <w:r w:rsidR="00BD0ADE">
        <w:rPr>
          <w:i/>
        </w:rPr>
        <w:t>au</w:t>
      </w:r>
      <w:r>
        <w:rPr>
          <w:i/>
        </w:rPr>
        <w:t>nga</w:t>
      </w:r>
      <w:proofErr w:type="spellEnd"/>
      <w:r w:rsidR="00394834">
        <w:t>, for the respondent</w:t>
      </w:r>
    </w:p>
    <w:p w14:paraId="432E3036" w14:textId="77777777" w:rsidR="00394834" w:rsidRPr="00B017EC" w:rsidRDefault="00394834" w:rsidP="00394834">
      <w:pPr>
        <w:jc w:val="both"/>
      </w:pPr>
    </w:p>
    <w:p w14:paraId="5DFC4EA6" w14:textId="77777777" w:rsidR="00394834" w:rsidRDefault="00394834" w:rsidP="00394834">
      <w:pPr>
        <w:jc w:val="both"/>
        <w:rPr>
          <w:b/>
        </w:rPr>
      </w:pPr>
    </w:p>
    <w:p w14:paraId="336217A3" w14:textId="77777777" w:rsidR="00394834" w:rsidRDefault="00394834" w:rsidP="00394834">
      <w:pPr>
        <w:jc w:val="both"/>
        <w:rPr>
          <w:b/>
        </w:rPr>
      </w:pPr>
    </w:p>
    <w:p w14:paraId="5531A02E" w14:textId="77777777" w:rsidR="00394834" w:rsidRDefault="00394834" w:rsidP="00394834">
      <w:pPr>
        <w:jc w:val="both"/>
        <w:rPr>
          <w:b/>
        </w:rPr>
      </w:pPr>
    </w:p>
    <w:p w14:paraId="6BDAE7FD" w14:textId="77777777" w:rsidR="00394834" w:rsidRDefault="00394834" w:rsidP="00394834">
      <w:pPr>
        <w:jc w:val="both"/>
        <w:rPr>
          <w:b/>
          <w:u w:val="single"/>
        </w:rPr>
      </w:pPr>
    </w:p>
    <w:p w14:paraId="4802C899" w14:textId="7E35690D" w:rsidR="00710E62" w:rsidRDefault="00394834" w:rsidP="00E633E8">
      <w:pPr>
        <w:spacing w:line="360" w:lineRule="auto"/>
        <w:ind w:firstLine="720"/>
        <w:jc w:val="both"/>
      </w:pPr>
      <w:r>
        <w:t xml:space="preserve">ZISENGWE J: </w:t>
      </w:r>
      <w:r>
        <w:tab/>
      </w:r>
      <w:r w:rsidR="00E633E8" w:rsidRPr="00E633E8">
        <w:t xml:space="preserve">The following are the full reasons </w:t>
      </w:r>
      <w:r w:rsidR="00F806B8">
        <w:t>informing</w:t>
      </w:r>
      <w:r w:rsidR="00E633E8" w:rsidRPr="00E633E8">
        <w:t xml:space="preserve"> </w:t>
      </w:r>
      <w:r w:rsidR="00693C04">
        <w:t>our</w:t>
      </w:r>
      <w:r w:rsidR="00E633E8" w:rsidRPr="00E633E8">
        <w:t xml:space="preserve"> </w:t>
      </w:r>
      <w:r w:rsidR="00693C04">
        <w:t>decision</w:t>
      </w:r>
      <w:r w:rsidR="00E633E8" w:rsidRPr="00E633E8">
        <w:t xml:space="preserve"> delivered </w:t>
      </w:r>
      <w:r w:rsidR="00693C04">
        <w:t xml:space="preserve">via an </w:t>
      </w:r>
      <w:proofErr w:type="gramStart"/>
      <w:r w:rsidR="00E633E8" w:rsidRPr="006C1141">
        <w:rPr>
          <w:i/>
          <w:iCs/>
        </w:rPr>
        <w:t>ex</w:t>
      </w:r>
      <w:r w:rsidR="006C1141" w:rsidRPr="006C1141">
        <w:rPr>
          <w:i/>
          <w:iCs/>
        </w:rPr>
        <w:t xml:space="preserve"> </w:t>
      </w:r>
      <w:r w:rsidR="00E633E8" w:rsidRPr="006C1141">
        <w:rPr>
          <w:i/>
          <w:iCs/>
        </w:rPr>
        <w:t>tempore</w:t>
      </w:r>
      <w:proofErr w:type="gramEnd"/>
      <w:r w:rsidR="00E633E8" w:rsidRPr="00E633E8">
        <w:t xml:space="preserve"> </w:t>
      </w:r>
      <w:r w:rsidR="00693C04">
        <w:t xml:space="preserve">judgment </w:t>
      </w:r>
      <w:r w:rsidR="00E633E8" w:rsidRPr="00E633E8">
        <w:t xml:space="preserve">on </w:t>
      </w:r>
      <w:r w:rsidR="006C1141">
        <w:t>20 September</w:t>
      </w:r>
      <w:r w:rsidR="00E633E8" w:rsidRPr="00E633E8">
        <w:t> 2023</w:t>
      </w:r>
      <w:r w:rsidR="00693C04">
        <w:t>. In that judgment we</w:t>
      </w:r>
      <w:r w:rsidR="00E633E8" w:rsidRPr="00E633E8">
        <w:t xml:space="preserve"> dismiss</w:t>
      </w:r>
      <w:r w:rsidR="00693C04">
        <w:t>ed</w:t>
      </w:r>
      <w:r w:rsidR="00E633E8" w:rsidRPr="00E633E8">
        <w:t xml:space="preserve"> </w:t>
      </w:r>
      <w:r w:rsidR="00E633E8">
        <w:t xml:space="preserve">with </w:t>
      </w:r>
      <w:r w:rsidR="00E633E8" w:rsidRPr="00E633E8">
        <w:t xml:space="preserve">costs </w:t>
      </w:r>
      <w:r w:rsidR="00255C68">
        <w:t>a</w:t>
      </w:r>
      <w:r w:rsidR="00E633E8" w:rsidRPr="00E633E8">
        <w:t>n appeal against the decision of the Magistrate</w:t>
      </w:r>
      <w:r w:rsidR="006C1141">
        <w:t>s</w:t>
      </w:r>
      <w:r w:rsidR="00E633E8" w:rsidRPr="00E633E8">
        <w:t xml:space="preserve"> Court sitting at Kwekwe (the court </w:t>
      </w:r>
      <w:r w:rsidR="00E633E8" w:rsidRPr="006C1141">
        <w:rPr>
          <w:i/>
          <w:iCs/>
        </w:rPr>
        <w:t>a quo</w:t>
      </w:r>
      <w:r w:rsidR="00E633E8" w:rsidRPr="00E633E8">
        <w:t>) ordering the eviction of the appellant and those claiming right of occupation through him from certain residential premises situate in the district of Kwekwe. That property was identified as House No. 14 Charles Street, Newtown, Kwekwe (</w:t>
      </w:r>
      <w:r w:rsidR="00BD0ADE">
        <w:t>“</w:t>
      </w:r>
      <w:r w:rsidR="00E633E8" w:rsidRPr="00E633E8">
        <w:t>the property</w:t>
      </w:r>
      <w:r w:rsidR="00BD0ADE">
        <w:t>”</w:t>
      </w:r>
      <w:r w:rsidR="00E633E8" w:rsidRPr="00E633E8">
        <w:t>).</w:t>
      </w:r>
    </w:p>
    <w:p w14:paraId="2DD680CE" w14:textId="46DAC338" w:rsidR="006A554C" w:rsidRDefault="00710E62" w:rsidP="00F4737F">
      <w:pPr>
        <w:spacing w:line="360" w:lineRule="auto"/>
        <w:ind w:firstLine="720"/>
        <w:jc w:val="both"/>
      </w:pPr>
      <w:r>
        <w:t>It is common cause that the property does</w:t>
      </w:r>
      <w:r w:rsidR="00D37D1E">
        <w:t xml:space="preserve"> not</w:t>
      </w:r>
      <w:r>
        <w:t xml:space="preserve"> belong to the appellant but constitutes part of the assets of Estate Late Idah </w:t>
      </w:r>
      <w:proofErr w:type="spellStart"/>
      <w:r>
        <w:t>Tandiwe</w:t>
      </w:r>
      <w:proofErr w:type="spellEnd"/>
      <w:r>
        <w:t xml:space="preserve"> </w:t>
      </w:r>
      <w:proofErr w:type="spellStart"/>
      <w:r>
        <w:t>Mangwarira</w:t>
      </w:r>
      <w:proofErr w:type="spellEnd"/>
      <w:r>
        <w:t>.  It is further comm</w:t>
      </w:r>
      <w:r w:rsidR="00D37D1E">
        <w:t>on cause</w:t>
      </w:r>
      <w:r>
        <w:t xml:space="preserve"> that Sandra </w:t>
      </w:r>
      <w:proofErr w:type="spellStart"/>
      <w:r>
        <w:t>Feslistas</w:t>
      </w:r>
      <w:proofErr w:type="spellEnd"/>
      <w:r>
        <w:t xml:space="preserve"> Shoniwa is the execut</w:t>
      </w:r>
      <w:r w:rsidR="00D37D1E">
        <w:t>or</w:t>
      </w:r>
      <w:r>
        <w:t xml:space="preserve"> dative of the </w:t>
      </w:r>
      <w:r w:rsidR="00BD0ADE">
        <w:t>s</w:t>
      </w:r>
      <w:r>
        <w:t>aid deceased estate.  Most importantly, for current purposes</w:t>
      </w:r>
      <w:r w:rsidR="00145D19">
        <w:t>,</w:t>
      </w:r>
      <w:r>
        <w:t xml:space="preserve"> it is common cause that the appellant is in occupation of the property courtesy of an oral lease agreement entered into between either himself or an entity called Avim Investments</w:t>
      </w:r>
      <w:r w:rsidR="00BD0ADE">
        <w:t xml:space="preserve"> (Private) Limited</w:t>
      </w:r>
      <w:r>
        <w:t xml:space="preserve"> as </w:t>
      </w:r>
      <w:r w:rsidR="00627A5E">
        <w:t>lessee</w:t>
      </w:r>
      <w:r>
        <w:t xml:space="preserve"> on the one hand and either the Respondent</w:t>
      </w:r>
      <w:r w:rsidR="0085344A">
        <w:t xml:space="preserve"> or one Mrs Matondo as lessor on the other</w:t>
      </w:r>
      <w:r w:rsidR="006A554C">
        <w:t>.</w:t>
      </w:r>
    </w:p>
    <w:p w14:paraId="191835E8" w14:textId="77777777" w:rsidR="006A554C" w:rsidRDefault="006A554C" w:rsidP="00F4737F">
      <w:pPr>
        <w:spacing w:line="360" w:lineRule="auto"/>
        <w:ind w:firstLine="720"/>
        <w:jc w:val="both"/>
      </w:pPr>
    </w:p>
    <w:p w14:paraId="50D8BB4E" w14:textId="77777777" w:rsidR="00003F86" w:rsidRDefault="00003F86" w:rsidP="00003F86">
      <w:pPr>
        <w:spacing w:line="360" w:lineRule="auto"/>
        <w:ind w:firstLine="720"/>
        <w:jc w:val="both"/>
      </w:pPr>
      <w:r w:rsidRPr="00003F86">
        <w:lastRenderedPageBreak/>
        <w:t xml:space="preserve">The respondent approached the court </w:t>
      </w:r>
      <w:r w:rsidRPr="00BD0ADE">
        <w:rPr>
          <w:i/>
          <w:iCs/>
        </w:rPr>
        <w:t>a quo</w:t>
      </w:r>
      <w:r w:rsidRPr="00003F86">
        <w:t xml:space="preserve"> on notice of motion, averring that the appellant had stubbornly refused to vacate the property despite having been served with a notice to vacate. She claimed in this regard that she had served the appellant with the said notice on July 10, 2020, with an instruction to vacate the property by the 4th of October of the same year, as she was now desirous of taking occupation thereof. According to her, much to her dismay and prejudice, the appellant, despite not having any right whatsoever to remain in occupation, remained obstinate and refused to budge. She therefore sought the protection of the law to assist her in the ejectment of the appellant.</w:t>
      </w:r>
    </w:p>
    <w:p w14:paraId="259677C1" w14:textId="77777777" w:rsidR="001B2F67" w:rsidRDefault="001B2F67" w:rsidP="00F4737F">
      <w:pPr>
        <w:spacing w:line="360" w:lineRule="auto"/>
        <w:ind w:firstLine="720"/>
        <w:jc w:val="both"/>
      </w:pPr>
      <w:r>
        <w:t>The application was r</w:t>
      </w:r>
      <w:r w:rsidR="00003F86">
        <w:t>esisted</w:t>
      </w:r>
      <w:r>
        <w:t xml:space="preserve"> by the appellant who raised four points in </w:t>
      </w:r>
      <w:proofErr w:type="spellStart"/>
      <w:r w:rsidRPr="00003F86">
        <w:rPr>
          <w:i/>
          <w:iCs/>
        </w:rPr>
        <w:t>limine</w:t>
      </w:r>
      <w:proofErr w:type="spellEnd"/>
      <w:r>
        <w:t>, namely;</w:t>
      </w:r>
    </w:p>
    <w:p w14:paraId="187CE77B" w14:textId="6DBC5E99" w:rsidR="00003F86" w:rsidRDefault="00003F86" w:rsidP="001B2F67">
      <w:pPr>
        <w:pStyle w:val="ListParagraph"/>
        <w:numPr>
          <w:ilvl w:val="0"/>
          <w:numId w:val="4"/>
        </w:numPr>
        <w:spacing w:line="360" w:lineRule="auto"/>
        <w:jc w:val="both"/>
      </w:pPr>
      <w:r w:rsidRPr="00003F86">
        <w:t>The alleged mis</w:t>
      </w:r>
      <w:r w:rsidR="00BD0ADE">
        <w:t>-</w:t>
      </w:r>
      <w:r w:rsidRPr="00003F86">
        <w:t>citation of the applicant i</w:t>
      </w:r>
      <w:r w:rsidR="00BD0ADE">
        <w:t>t being</w:t>
      </w:r>
      <w:r w:rsidRPr="00003F86">
        <w:t xml:space="preserve"> essentially averred</w:t>
      </w:r>
      <w:r w:rsidR="00BD0ADE">
        <w:t xml:space="preserve"> that</w:t>
      </w:r>
      <w:r w:rsidRPr="00003F86">
        <w:t xml:space="preserve"> the applicant should have been cited as Sandra Felistas Shoniwa (in her capacity as the Executor of the late Idah </w:t>
      </w:r>
      <w:proofErr w:type="spellStart"/>
      <w:r w:rsidRPr="00003F86">
        <w:t>Tandiwa</w:t>
      </w:r>
      <w:proofErr w:type="spellEnd"/>
      <w:r w:rsidRPr="00003F86">
        <w:t xml:space="preserve"> </w:t>
      </w:r>
      <w:proofErr w:type="spellStart"/>
      <w:r w:rsidRPr="00003F86">
        <w:t>Mangwaira</w:t>
      </w:r>
      <w:proofErr w:type="spellEnd"/>
      <w:r w:rsidRPr="00003F86">
        <w:t>).</w:t>
      </w:r>
    </w:p>
    <w:p w14:paraId="0AC90E49" w14:textId="77777777" w:rsidR="00124A64" w:rsidRDefault="00124A64" w:rsidP="001B2F67">
      <w:pPr>
        <w:pStyle w:val="ListParagraph"/>
        <w:numPr>
          <w:ilvl w:val="0"/>
          <w:numId w:val="4"/>
        </w:numPr>
        <w:spacing w:line="360" w:lineRule="auto"/>
        <w:jc w:val="both"/>
      </w:pPr>
      <w:r>
        <w:t xml:space="preserve">That the dispute was </w:t>
      </w:r>
      <w:r w:rsidR="00003F86">
        <w:t>fraught</w:t>
      </w:r>
      <w:r>
        <w:t xml:space="preserve"> with material dispute</w:t>
      </w:r>
      <w:r w:rsidR="00003F86">
        <w:t>s</w:t>
      </w:r>
      <w:r>
        <w:t xml:space="preserve"> of fact rendering the use of application procedure unsuitable</w:t>
      </w:r>
      <w:r w:rsidR="00664283">
        <w:t>.</w:t>
      </w:r>
    </w:p>
    <w:p w14:paraId="5E35CDA0" w14:textId="4FB21752" w:rsidR="00FE015D" w:rsidRDefault="00FE015D" w:rsidP="001B2F67">
      <w:pPr>
        <w:pStyle w:val="ListParagraph"/>
        <w:numPr>
          <w:ilvl w:val="0"/>
          <w:numId w:val="4"/>
        </w:numPr>
        <w:spacing w:line="360" w:lineRule="auto"/>
        <w:jc w:val="both"/>
      </w:pPr>
      <w:r>
        <w:t>That the lease agreement was between Avim (Pvt) Ltd as less</w:t>
      </w:r>
      <w:r w:rsidR="00003F86">
        <w:t>ee</w:t>
      </w:r>
      <w:r>
        <w:t xml:space="preserve"> and one Mrs Matondo as lessor and that therefore there was a material non-joinder of a party</w:t>
      </w:r>
      <w:r w:rsidR="00BD0ADE">
        <w:t xml:space="preserve"> (namely Avim (Private) Limited</w:t>
      </w:r>
      <w:r>
        <w:t>.</w:t>
      </w:r>
    </w:p>
    <w:p w14:paraId="511E5B6D" w14:textId="5825A7EC" w:rsidR="00FE015D" w:rsidRDefault="00FE015D" w:rsidP="001B2F67">
      <w:pPr>
        <w:pStyle w:val="ListParagraph"/>
        <w:numPr>
          <w:ilvl w:val="0"/>
          <w:numId w:val="4"/>
        </w:numPr>
        <w:spacing w:line="360" w:lineRule="auto"/>
        <w:jc w:val="both"/>
      </w:pPr>
      <w:r>
        <w:t>The fourth preliminary p</w:t>
      </w:r>
      <w:r w:rsidR="00BD0ADE">
        <w:t>oint was</w:t>
      </w:r>
      <w:r>
        <w:t xml:space="preserve"> merely a repetition of </w:t>
      </w:r>
      <w:r w:rsidR="00BD0ADE">
        <w:t>(c)</w:t>
      </w:r>
      <w:r>
        <w:t xml:space="preserve"> above it being averred </w:t>
      </w:r>
      <w:r w:rsidR="00F26721">
        <w:t xml:space="preserve">that </w:t>
      </w:r>
      <w:r>
        <w:t>the less</w:t>
      </w:r>
      <w:r w:rsidR="00BD0ADE">
        <w:t>ee</w:t>
      </w:r>
      <w:r>
        <w:t xml:space="preserve"> in that agreement was Avim (Pvt) Ltd, a juristic entity with separate legal personality</w:t>
      </w:r>
      <w:r w:rsidR="00664283">
        <w:t>.</w:t>
      </w:r>
    </w:p>
    <w:p w14:paraId="14A63872" w14:textId="77777777" w:rsidR="00664283" w:rsidRDefault="00FD3312" w:rsidP="00664283">
      <w:pPr>
        <w:spacing w:line="360" w:lineRule="auto"/>
        <w:jc w:val="both"/>
      </w:pPr>
      <w:r w:rsidRPr="00FD3312">
        <w:t>Part of the appellant’s address on the merits was a regurgitation of the preliminary points above. However, he denied having received any notice to vacate the premises. He elaborated by indicating that he is one of the directors of Avim Investments, who, according to him, is the true lessee in this lease agreement.</w:t>
      </w:r>
    </w:p>
    <w:p w14:paraId="47D02AB5" w14:textId="0AB3B549" w:rsidR="00664283" w:rsidRDefault="00664283" w:rsidP="00664283">
      <w:pPr>
        <w:spacing w:line="360" w:lineRule="auto"/>
        <w:jc w:val="both"/>
      </w:pPr>
      <w:r>
        <w:t>In h</w:t>
      </w:r>
      <w:r w:rsidR="0086545F">
        <w:t>er</w:t>
      </w:r>
      <w:r>
        <w:t xml:space="preserve"> answering affidavit, the respondent scoffed at the appellant’s purported points in </w:t>
      </w:r>
      <w:proofErr w:type="spellStart"/>
      <w:r w:rsidRPr="003017B9">
        <w:rPr>
          <w:i/>
          <w:iCs/>
        </w:rPr>
        <w:t>limine</w:t>
      </w:r>
      <w:proofErr w:type="spellEnd"/>
      <w:r w:rsidRPr="003017B9">
        <w:rPr>
          <w:i/>
          <w:iCs/>
        </w:rPr>
        <w:t xml:space="preserve"> </w:t>
      </w:r>
      <w:r>
        <w:t>and pointed out that as execut</w:t>
      </w:r>
      <w:r w:rsidR="00BD0ADE">
        <w:t>rix</w:t>
      </w:r>
      <w:r>
        <w:t xml:space="preserve"> of the estate of which the property was </w:t>
      </w:r>
      <w:r w:rsidR="003017B9">
        <w:t>part,</w:t>
      </w:r>
      <w:r>
        <w:t xml:space="preserve"> she had sufficient </w:t>
      </w:r>
      <w:r w:rsidRPr="003017B9">
        <w:rPr>
          <w:i/>
          <w:iCs/>
        </w:rPr>
        <w:t>locus stand</w:t>
      </w:r>
      <w:r w:rsidR="003017B9" w:rsidRPr="003017B9">
        <w:rPr>
          <w:i/>
          <w:iCs/>
        </w:rPr>
        <w:t>i</w:t>
      </w:r>
      <w:r w:rsidRPr="003017B9">
        <w:rPr>
          <w:i/>
          <w:iCs/>
        </w:rPr>
        <w:t xml:space="preserve"> to</w:t>
      </w:r>
      <w:r>
        <w:t xml:space="preserve"> institute the proceedings</w:t>
      </w:r>
      <w:r w:rsidR="006149A6">
        <w:t>.</w:t>
      </w:r>
    </w:p>
    <w:p w14:paraId="4CAAE391" w14:textId="3D3C362E" w:rsidR="006149A6" w:rsidRDefault="006149A6" w:rsidP="00CE2F69">
      <w:pPr>
        <w:spacing w:line="360" w:lineRule="auto"/>
        <w:ind w:firstLine="720"/>
        <w:jc w:val="both"/>
      </w:pPr>
      <w:r>
        <w:t>She also dismissed the assertion that the matter was beset with material disputes of fact rendering it incapable of resolution on the papers.   She insisted that apart from b</w:t>
      </w:r>
      <w:r w:rsidR="00BD0ADE">
        <w:t>a</w:t>
      </w:r>
      <w:r>
        <w:t xml:space="preserve">ld assertions on </w:t>
      </w:r>
      <w:r>
        <w:lastRenderedPageBreak/>
        <w:t>the part of the appellant of the existence of dispute</w:t>
      </w:r>
      <w:r w:rsidR="00BD0ADE">
        <w:t>s</w:t>
      </w:r>
      <w:r>
        <w:t xml:space="preserve"> of fact, the opposing affidavit was be</w:t>
      </w:r>
      <w:r w:rsidR="00BD0ADE">
        <w:t>reft</w:t>
      </w:r>
      <w:r>
        <w:t xml:space="preserve"> of </w:t>
      </w:r>
      <w:r w:rsidR="00BD0ADE">
        <w:t>an</w:t>
      </w:r>
      <w:r>
        <w:t xml:space="preserve"> identification of those material disputes of fact.</w:t>
      </w:r>
    </w:p>
    <w:p w14:paraId="51491A2D" w14:textId="0438AB9A" w:rsidR="00B46406" w:rsidRDefault="00B46406" w:rsidP="00CE2F69">
      <w:pPr>
        <w:spacing w:line="360" w:lineRule="auto"/>
        <w:ind w:firstLine="720"/>
        <w:jc w:val="both"/>
      </w:pPr>
      <w:r>
        <w:t xml:space="preserve">She further gave two key explanations regarding the </w:t>
      </w:r>
      <w:r w:rsidR="00046C3E">
        <w:t>appellant</w:t>
      </w:r>
      <w:r w:rsidR="002A10CC">
        <w:t xml:space="preserve">’s </w:t>
      </w:r>
      <w:r w:rsidR="00046C3E">
        <w:t>opposition to the application.  Firstly</w:t>
      </w:r>
      <w:r w:rsidR="002A10CC">
        <w:t>,</w:t>
      </w:r>
      <w:r w:rsidR="00046C3E">
        <w:t xml:space="preserve"> she explained that as a matter of fact she is Mrs</w:t>
      </w:r>
      <w:r w:rsidR="002A10CC">
        <w:t>.</w:t>
      </w:r>
      <w:r w:rsidR="00046C3E">
        <w:t xml:space="preserve"> Matondo, which is not only her married surname but also a name that appellant was familiar with</w:t>
      </w:r>
      <w:r w:rsidR="00BD0ADE">
        <w:t>, and which she therefore used when entering into the lease agreement with the appellant.</w:t>
      </w:r>
      <w:r w:rsidR="00046C3E">
        <w:t xml:space="preserve">  Secondly</w:t>
      </w:r>
      <w:r w:rsidR="002A10CC">
        <w:t>,</w:t>
      </w:r>
      <w:r w:rsidR="00046C3E">
        <w:t xml:space="preserve"> she averred that the entity Avim </w:t>
      </w:r>
      <w:r w:rsidR="00BD0ADE">
        <w:t>Investments</w:t>
      </w:r>
      <w:r w:rsidR="00046C3E">
        <w:t xml:space="preserve"> which appellant sought to introduce into the fray was completely </w:t>
      </w:r>
      <w:r w:rsidR="0069074D">
        <w:t xml:space="preserve">unknown to her.  She insisted that she only dealt with the appellant in the oral lease agreement and that the </w:t>
      </w:r>
      <w:r w:rsidR="00251694">
        <w:t>imp</w:t>
      </w:r>
      <w:r w:rsidR="00BD0ADE">
        <w:t>or</w:t>
      </w:r>
      <w:r w:rsidR="00251694">
        <w:t xml:space="preserve">tation by the appellant of AVIM (Pvt) Ltd into the fray </w:t>
      </w:r>
      <w:r w:rsidR="00BD0ADE">
        <w:t>wa</w:t>
      </w:r>
      <w:r w:rsidR="00251694">
        <w:t>s merely to obfuscate issues.</w:t>
      </w:r>
      <w:r w:rsidR="0069074D">
        <w:t xml:space="preserve"> </w:t>
      </w:r>
    </w:p>
    <w:p w14:paraId="0BF1D2C0" w14:textId="4A1E3A23" w:rsidR="00780D76" w:rsidRDefault="00D45A14" w:rsidP="00CE2F69">
      <w:pPr>
        <w:spacing w:line="360" w:lineRule="auto"/>
        <w:ind w:firstLine="720"/>
        <w:jc w:val="both"/>
      </w:pPr>
      <w:r w:rsidRPr="00D45A14">
        <w:t>She further insisted that she had duly served the appellant with notice to vacate the property and that the denial by the appellant of the receipt of the same was feigne</w:t>
      </w:r>
      <w:r w:rsidR="006C434E">
        <w:t>d</w:t>
      </w:r>
      <w:r w:rsidRPr="00D45A14">
        <w:t xml:space="preserve"> designed</w:t>
      </w:r>
      <w:r w:rsidR="006C434E">
        <w:t>ly</w:t>
      </w:r>
      <w:r w:rsidRPr="00D45A14">
        <w:t xml:space="preserve"> to delay the inevitable.</w:t>
      </w:r>
    </w:p>
    <w:p w14:paraId="572EB909" w14:textId="07E804A3" w:rsidR="00780D76" w:rsidRDefault="00780D76" w:rsidP="00CE2F69">
      <w:pPr>
        <w:spacing w:line="360" w:lineRule="auto"/>
        <w:ind w:firstLine="720"/>
        <w:jc w:val="both"/>
      </w:pPr>
      <w:r>
        <w:t xml:space="preserve">Needless to </w:t>
      </w:r>
      <w:r w:rsidR="00C7736C">
        <w:t>say,</w:t>
      </w:r>
      <w:r>
        <w:t xml:space="preserve"> that</w:t>
      </w:r>
      <w:r w:rsidR="006C434E">
        <w:t xml:space="preserve"> at</w:t>
      </w:r>
      <w:r>
        <w:t xml:space="preserve"> the conclusion of the hearing, </w:t>
      </w:r>
      <w:r w:rsidR="006C434E">
        <w:t>th</w:t>
      </w:r>
      <w:r>
        <w:t xml:space="preserve">e court </w:t>
      </w:r>
      <w:r w:rsidRPr="006C434E">
        <w:rPr>
          <w:i/>
          <w:iCs/>
        </w:rPr>
        <w:t>a</w:t>
      </w:r>
      <w:r w:rsidR="006C434E" w:rsidRPr="006C434E">
        <w:rPr>
          <w:i/>
          <w:iCs/>
        </w:rPr>
        <w:t xml:space="preserve"> </w:t>
      </w:r>
      <w:r w:rsidRPr="006C434E">
        <w:rPr>
          <w:i/>
          <w:iCs/>
        </w:rPr>
        <w:t>quo</w:t>
      </w:r>
      <w:r>
        <w:t xml:space="preserve"> found for the respondent.  </w:t>
      </w:r>
      <w:r w:rsidR="006C434E">
        <w:t>It</w:t>
      </w:r>
      <w:r>
        <w:t xml:space="preserve"> found a</w:t>
      </w:r>
      <w:r w:rsidR="00A46D6D">
        <w:t xml:space="preserve">ll </w:t>
      </w:r>
      <w:r>
        <w:t xml:space="preserve">the preliminary points to be without merit. </w:t>
      </w:r>
      <w:r w:rsidR="006C434E">
        <w:t xml:space="preserve">The court </w:t>
      </w:r>
      <w:r w:rsidR="006C434E" w:rsidRPr="006C434E">
        <w:rPr>
          <w:i/>
          <w:iCs/>
        </w:rPr>
        <w:t>a quo</w:t>
      </w:r>
      <w:r>
        <w:t xml:space="preserve"> found that there was nothing amiss about the citation of the respondent particularly in light of the fact that it had been shown that the</w:t>
      </w:r>
      <w:r w:rsidR="004818A5">
        <w:t xml:space="preserve"> property in question </w:t>
      </w:r>
      <w:r w:rsidR="006C434E">
        <w:t>wa</w:t>
      </w:r>
      <w:r w:rsidR="004818A5">
        <w:t>s part of</w:t>
      </w:r>
      <w:r w:rsidR="00786638">
        <w:t xml:space="preserve"> the assets of estate late I</w:t>
      </w:r>
      <w:r>
        <w:t xml:space="preserve">dah </w:t>
      </w:r>
      <w:proofErr w:type="spellStart"/>
      <w:r>
        <w:t>Mangwaira</w:t>
      </w:r>
      <w:proofErr w:type="spellEnd"/>
      <w:r>
        <w:t xml:space="preserve"> and that the respondent had been duly appointed as </w:t>
      </w:r>
      <w:r w:rsidR="006C434E">
        <w:t>its</w:t>
      </w:r>
      <w:r>
        <w:t xml:space="preserve"> executrix. </w:t>
      </w:r>
    </w:p>
    <w:p w14:paraId="048B6649" w14:textId="4AD890BB" w:rsidR="004818A5" w:rsidRDefault="004818A5" w:rsidP="00CE2F69">
      <w:pPr>
        <w:spacing w:line="360" w:lineRule="auto"/>
        <w:ind w:firstLine="720"/>
        <w:jc w:val="both"/>
      </w:pPr>
      <w:r>
        <w:t>As for the alleged</w:t>
      </w:r>
      <w:r w:rsidR="00AB44F6">
        <w:t xml:space="preserve"> wrong procedure having been adopted, the court </w:t>
      </w:r>
      <w:r w:rsidR="006C434E" w:rsidRPr="006C434E">
        <w:rPr>
          <w:i/>
          <w:iCs/>
        </w:rPr>
        <w:t>a quo</w:t>
      </w:r>
      <w:r w:rsidR="00AB44F6">
        <w:t xml:space="preserve"> found that the appellant has failed to identify, let alone prove</w:t>
      </w:r>
      <w:r w:rsidR="00FC48F7">
        <w:t>,</w:t>
      </w:r>
      <w:r w:rsidR="00AB44F6">
        <w:t xml:space="preserve"> the existence of material disputes of fa</w:t>
      </w:r>
      <w:r w:rsidR="00A178FD">
        <w:t>ct</w:t>
      </w:r>
      <w:r w:rsidR="00F806B8">
        <w:t xml:space="preserve"> to support the contention that the respondent had employed the wrong procedure</w:t>
      </w:r>
      <w:r w:rsidR="00AB44F6">
        <w:t>.</w:t>
      </w:r>
    </w:p>
    <w:p w14:paraId="0CDB9CDF" w14:textId="713528E0" w:rsidR="00F96454" w:rsidRDefault="006C434E" w:rsidP="00CE2F69">
      <w:pPr>
        <w:spacing w:line="360" w:lineRule="auto"/>
        <w:ind w:firstLine="720"/>
        <w:jc w:val="both"/>
      </w:pPr>
      <w:r>
        <w:t>With regards to</w:t>
      </w:r>
      <w:r w:rsidR="00D42DDB" w:rsidRPr="00D42DDB">
        <w:t xml:space="preserve"> the alleged non-joinder of a party, the court </w:t>
      </w:r>
      <w:r w:rsidR="00D42DDB" w:rsidRPr="006C434E">
        <w:rPr>
          <w:i/>
          <w:iCs/>
        </w:rPr>
        <w:t>a q</w:t>
      </w:r>
      <w:r w:rsidRPr="006C434E">
        <w:rPr>
          <w:i/>
          <w:iCs/>
        </w:rPr>
        <w:t>uo</w:t>
      </w:r>
      <w:r w:rsidR="00D42DDB" w:rsidRPr="00D42DDB">
        <w:t xml:space="preserve"> was equally unimpressed, finding as it did that there was a</w:t>
      </w:r>
      <w:r>
        <w:t>mp</w:t>
      </w:r>
      <w:r w:rsidR="00D42DDB" w:rsidRPr="00D42DDB">
        <w:t xml:space="preserve">le evidence not only that Mrs. Matondo was one and the same </w:t>
      </w:r>
      <w:r>
        <w:t xml:space="preserve">person </w:t>
      </w:r>
      <w:r w:rsidR="00D42DDB" w:rsidRPr="00D42DDB">
        <w:t xml:space="preserve">as Sandra Felistas Shonhiwa, </w:t>
      </w:r>
      <w:r>
        <w:t xml:space="preserve">but also </w:t>
      </w:r>
      <w:r w:rsidR="00D42DDB" w:rsidRPr="00D42DDB">
        <w:t xml:space="preserve">the executor of the estate of the late Idah Thandiwe </w:t>
      </w:r>
      <w:proofErr w:type="spellStart"/>
      <w:r w:rsidR="00D42DDB" w:rsidRPr="00D42DDB">
        <w:t>Mangwaira</w:t>
      </w:r>
      <w:proofErr w:type="spellEnd"/>
      <w:r w:rsidR="00D42DDB" w:rsidRPr="00D42DDB">
        <w:t>.</w:t>
      </w:r>
    </w:p>
    <w:p w14:paraId="601DBE7F" w14:textId="77777777" w:rsidR="00D42DDB" w:rsidRDefault="00D42DDB" w:rsidP="00CE2F69">
      <w:pPr>
        <w:spacing w:line="360" w:lineRule="auto"/>
        <w:ind w:firstLine="720"/>
        <w:jc w:val="both"/>
      </w:pPr>
    </w:p>
    <w:p w14:paraId="702203C6" w14:textId="77777777" w:rsidR="00106963" w:rsidRDefault="00001EEE" w:rsidP="00CE2F69">
      <w:pPr>
        <w:spacing w:line="360" w:lineRule="auto"/>
        <w:ind w:firstLine="720"/>
        <w:jc w:val="both"/>
      </w:pPr>
      <w:r w:rsidRPr="00001EEE">
        <w:t>As to whether the appellant had been given notice to vacate, reliance was placed in part on the letter author</w:t>
      </w:r>
      <w:r w:rsidR="002E53AB">
        <w:t>ed</w:t>
      </w:r>
      <w:r w:rsidRPr="00001EEE">
        <w:t xml:space="preserve"> by the respondent legal practitioners, Hore and Partners, at the behest of the respondent and deceased to the appellant. The letter is dated July 3, 2020, and reads as follows:</w:t>
      </w:r>
    </w:p>
    <w:p w14:paraId="63F7A383" w14:textId="77777777" w:rsidR="00B36632" w:rsidRDefault="00B36632" w:rsidP="00592B5F">
      <w:pPr>
        <w:jc w:val="both"/>
      </w:pPr>
    </w:p>
    <w:p w14:paraId="2E48B7AD" w14:textId="77777777" w:rsidR="00B36632" w:rsidRDefault="00B36632" w:rsidP="00592B5F">
      <w:pPr>
        <w:jc w:val="both"/>
      </w:pPr>
    </w:p>
    <w:p w14:paraId="36BB2E95" w14:textId="77777777" w:rsidR="00106963" w:rsidRPr="00C042A1" w:rsidRDefault="00106963" w:rsidP="00592B5F">
      <w:pPr>
        <w:jc w:val="both"/>
        <w:rPr>
          <w:i/>
          <w:iCs/>
        </w:rPr>
      </w:pPr>
      <w:r w:rsidRPr="00C042A1">
        <w:rPr>
          <w:i/>
          <w:iCs/>
        </w:rPr>
        <w:lastRenderedPageBreak/>
        <w:t xml:space="preserve">Mr Sheperd </w:t>
      </w:r>
      <w:proofErr w:type="spellStart"/>
      <w:r w:rsidRPr="00C042A1">
        <w:rPr>
          <w:i/>
          <w:iCs/>
        </w:rPr>
        <w:t>Tundiya</w:t>
      </w:r>
      <w:proofErr w:type="spellEnd"/>
    </w:p>
    <w:p w14:paraId="45F6CF96" w14:textId="77777777" w:rsidR="00106963" w:rsidRPr="00C042A1" w:rsidRDefault="00106963" w:rsidP="00592B5F">
      <w:pPr>
        <w:jc w:val="both"/>
        <w:rPr>
          <w:i/>
          <w:iCs/>
        </w:rPr>
      </w:pPr>
      <w:r w:rsidRPr="00C042A1">
        <w:rPr>
          <w:i/>
          <w:iCs/>
        </w:rPr>
        <w:t>14 Charles Street</w:t>
      </w:r>
    </w:p>
    <w:p w14:paraId="288695F2" w14:textId="77777777" w:rsidR="00106963" w:rsidRPr="00C042A1" w:rsidRDefault="00106963" w:rsidP="00592B5F">
      <w:pPr>
        <w:jc w:val="both"/>
        <w:rPr>
          <w:i/>
          <w:iCs/>
        </w:rPr>
      </w:pPr>
      <w:r w:rsidRPr="00C042A1">
        <w:rPr>
          <w:i/>
          <w:iCs/>
        </w:rPr>
        <w:t xml:space="preserve">Newtown </w:t>
      </w:r>
    </w:p>
    <w:p w14:paraId="4E332055" w14:textId="77777777" w:rsidR="00106963" w:rsidRPr="00C042A1" w:rsidRDefault="00106963" w:rsidP="00592B5F">
      <w:pPr>
        <w:jc w:val="both"/>
        <w:rPr>
          <w:i/>
          <w:iCs/>
        </w:rPr>
      </w:pPr>
      <w:r w:rsidRPr="00C042A1">
        <w:rPr>
          <w:i/>
          <w:iCs/>
        </w:rPr>
        <w:t>Kwekwe</w:t>
      </w:r>
    </w:p>
    <w:p w14:paraId="1A6C384B" w14:textId="77777777" w:rsidR="00106963" w:rsidRPr="00C042A1" w:rsidRDefault="00106963" w:rsidP="00592B5F">
      <w:pPr>
        <w:jc w:val="both"/>
        <w:rPr>
          <w:i/>
          <w:iCs/>
        </w:rPr>
      </w:pPr>
    </w:p>
    <w:p w14:paraId="44B85FCD" w14:textId="77777777" w:rsidR="00106963" w:rsidRPr="00C042A1" w:rsidRDefault="00106963" w:rsidP="00106963">
      <w:pPr>
        <w:spacing w:line="360" w:lineRule="auto"/>
        <w:jc w:val="both"/>
        <w:rPr>
          <w:i/>
          <w:iCs/>
        </w:rPr>
      </w:pPr>
      <w:r w:rsidRPr="00C042A1">
        <w:rPr>
          <w:i/>
          <w:iCs/>
        </w:rPr>
        <w:t>3</w:t>
      </w:r>
      <w:r w:rsidRPr="00C042A1">
        <w:rPr>
          <w:i/>
          <w:iCs/>
          <w:vertAlign w:val="superscript"/>
        </w:rPr>
        <w:t xml:space="preserve">rd </w:t>
      </w:r>
      <w:r w:rsidRPr="00C042A1">
        <w:rPr>
          <w:i/>
          <w:iCs/>
        </w:rPr>
        <w:t>July 2020</w:t>
      </w:r>
    </w:p>
    <w:p w14:paraId="70400B0B" w14:textId="77777777" w:rsidR="00106963" w:rsidRPr="00C042A1" w:rsidRDefault="00106963" w:rsidP="00106963">
      <w:pPr>
        <w:spacing w:line="360" w:lineRule="auto"/>
        <w:jc w:val="both"/>
        <w:rPr>
          <w:i/>
          <w:iCs/>
        </w:rPr>
      </w:pPr>
    </w:p>
    <w:p w14:paraId="63F4A173" w14:textId="77777777" w:rsidR="00106963" w:rsidRPr="00C042A1" w:rsidRDefault="00106963" w:rsidP="00106963">
      <w:pPr>
        <w:spacing w:line="360" w:lineRule="auto"/>
        <w:jc w:val="both"/>
        <w:rPr>
          <w:i/>
          <w:iCs/>
        </w:rPr>
      </w:pPr>
      <w:r w:rsidRPr="00C042A1">
        <w:rPr>
          <w:i/>
          <w:iCs/>
        </w:rPr>
        <w:t>Dear Sir/Madam</w:t>
      </w:r>
    </w:p>
    <w:p w14:paraId="3AE2ADBE" w14:textId="77777777" w:rsidR="00106963" w:rsidRPr="00C042A1" w:rsidRDefault="00106963" w:rsidP="00106963">
      <w:pPr>
        <w:spacing w:line="360" w:lineRule="auto"/>
        <w:jc w:val="both"/>
        <w:rPr>
          <w:i/>
          <w:iCs/>
        </w:rPr>
      </w:pPr>
    </w:p>
    <w:p w14:paraId="25301A42" w14:textId="77777777" w:rsidR="00106963" w:rsidRPr="00C042A1" w:rsidRDefault="00106963" w:rsidP="00106963">
      <w:pPr>
        <w:spacing w:line="360" w:lineRule="auto"/>
        <w:jc w:val="both"/>
        <w:rPr>
          <w:i/>
          <w:iCs/>
        </w:rPr>
      </w:pPr>
      <w:r w:rsidRPr="00C042A1">
        <w:rPr>
          <w:i/>
          <w:iCs/>
        </w:rPr>
        <w:t>Re</w:t>
      </w:r>
      <w:r w:rsidRPr="00C042A1">
        <w:rPr>
          <w:i/>
          <w:iCs/>
        </w:rPr>
        <w:tab/>
        <w:t>Notice of Eviction</w:t>
      </w:r>
    </w:p>
    <w:p w14:paraId="416C0D59" w14:textId="77777777" w:rsidR="00106963" w:rsidRPr="00C042A1" w:rsidRDefault="00106963" w:rsidP="00106963">
      <w:pPr>
        <w:spacing w:line="360" w:lineRule="auto"/>
        <w:jc w:val="both"/>
        <w:rPr>
          <w:i/>
          <w:iCs/>
        </w:rPr>
      </w:pPr>
    </w:p>
    <w:p w14:paraId="6948F216" w14:textId="77777777" w:rsidR="00106963" w:rsidRPr="00C042A1" w:rsidRDefault="00106963" w:rsidP="00106963">
      <w:pPr>
        <w:spacing w:line="360" w:lineRule="auto"/>
        <w:jc w:val="both"/>
        <w:rPr>
          <w:i/>
          <w:iCs/>
        </w:rPr>
      </w:pPr>
      <w:r w:rsidRPr="00C042A1">
        <w:rPr>
          <w:i/>
          <w:iCs/>
        </w:rPr>
        <w:t>We refer to the above matter and address you at the instance of our client, Mrs Matondo, the owner of the home you are currently renting out.</w:t>
      </w:r>
    </w:p>
    <w:p w14:paraId="2E7C1F45" w14:textId="77777777" w:rsidR="00AF775F" w:rsidRPr="00C042A1" w:rsidRDefault="00106963" w:rsidP="00106963">
      <w:pPr>
        <w:spacing w:line="360" w:lineRule="auto"/>
        <w:jc w:val="both"/>
        <w:rPr>
          <w:i/>
          <w:iCs/>
        </w:rPr>
      </w:pPr>
      <w:r w:rsidRPr="00C042A1">
        <w:rPr>
          <w:i/>
          <w:iCs/>
        </w:rPr>
        <w:t>Instruction</w:t>
      </w:r>
      <w:r w:rsidR="009D6D15" w:rsidRPr="00C042A1">
        <w:rPr>
          <w:i/>
          <w:iCs/>
        </w:rPr>
        <w:t>s</w:t>
      </w:r>
      <w:r w:rsidRPr="00C042A1">
        <w:rPr>
          <w:i/>
          <w:iCs/>
        </w:rPr>
        <w:t xml:space="preserve"> are that our </w:t>
      </w:r>
      <w:r w:rsidR="00AF775F" w:rsidRPr="00C042A1">
        <w:rPr>
          <w:i/>
          <w:iCs/>
        </w:rPr>
        <w:t xml:space="preserve">client is relocating back to </w:t>
      </w:r>
      <w:proofErr w:type="spellStart"/>
      <w:r w:rsidR="00AF775F" w:rsidRPr="00C042A1">
        <w:rPr>
          <w:i/>
          <w:iCs/>
        </w:rPr>
        <w:t>KweKwe</w:t>
      </w:r>
      <w:proofErr w:type="spellEnd"/>
      <w:r w:rsidR="00AF775F" w:rsidRPr="00C042A1">
        <w:rPr>
          <w:i/>
          <w:iCs/>
        </w:rPr>
        <w:t xml:space="preserve"> and would be occupying the home you are currently occupying.</w:t>
      </w:r>
    </w:p>
    <w:p w14:paraId="6AC85568" w14:textId="77777777" w:rsidR="00592B5F" w:rsidRPr="00C042A1" w:rsidRDefault="00AF775F" w:rsidP="00106963">
      <w:pPr>
        <w:spacing w:line="360" w:lineRule="auto"/>
        <w:jc w:val="both"/>
        <w:rPr>
          <w:i/>
          <w:iCs/>
        </w:rPr>
      </w:pPr>
      <w:r w:rsidRPr="00C042A1">
        <w:rPr>
          <w:i/>
          <w:iCs/>
        </w:rPr>
        <w:t>B</w:t>
      </w:r>
      <w:r w:rsidR="00592B5F" w:rsidRPr="00C042A1">
        <w:rPr>
          <w:i/>
          <w:iCs/>
        </w:rPr>
        <w:t xml:space="preserve">y copy of the letter, you </w:t>
      </w:r>
      <w:r w:rsidRPr="00C042A1">
        <w:rPr>
          <w:i/>
          <w:iCs/>
        </w:rPr>
        <w:t>a</w:t>
      </w:r>
      <w:r w:rsidR="00592B5F" w:rsidRPr="00C042A1">
        <w:rPr>
          <w:i/>
          <w:iCs/>
        </w:rPr>
        <w:t>r</w:t>
      </w:r>
      <w:r w:rsidRPr="00C042A1">
        <w:rPr>
          <w:i/>
          <w:iCs/>
        </w:rPr>
        <w:t xml:space="preserve">e </w:t>
      </w:r>
      <w:r w:rsidR="00592B5F" w:rsidRPr="00C042A1">
        <w:rPr>
          <w:i/>
          <w:iCs/>
        </w:rPr>
        <w:t>hereby given 3months notice to vacate the home, Stand No. 14 Charles Street, Kwekwe.</w:t>
      </w:r>
    </w:p>
    <w:p w14:paraId="22817197" w14:textId="77777777" w:rsidR="00592B5F" w:rsidRDefault="00592B5F" w:rsidP="00106963">
      <w:pPr>
        <w:spacing w:line="360" w:lineRule="auto"/>
        <w:jc w:val="both"/>
        <w:rPr>
          <w:i/>
          <w:iCs/>
        </w:rPr>
      </w:pPr>
      <w:r w:rsidRPr="00C042A1">
        <w:rPr>
          <w:i/>
          <w:iCs/>
        </w:rPr>
        <w:t>May you kindly make arrangements to vacate the premises by the 4</w:t>
      </w:r>
      <w:r w:rsidRPr="00C042A1">
        <w:rPr>
          <w:i/>
          <w:iCs/>
          <w:vertAlign w:val="superscript"/>
        </w:rPr>
        <w:t>th</w:t>
      </w:r>
      <w:r w:rsidRPr="00C042A1">
        <w:rPr>
          <w:i/>
          <w:iCs/>
        </w:rPr>
        <w:t xml:space="preserve"> of October 2020.</w:t>
      </w:r>
    </w:p>
    <w:p w14:paraId="5AEF7C9B" w14:textId="77777777" w:rsidR="00DC623C" w:rsidRPr="00C042A1" w:rsidRDefault="00DC623C" w:rsidP="00106963">
      <w:pPr>
        <w:spacing w:line="360" w:lineRule="auto"/>
        <w:jc w:val="both"/>
        <w:rPr>
          <w:i/>
          <w:iCs/>
        </w:rPr>
      </w:pPr>
    </w:p>
    <w:p w14:paraId="308C1C7A" w14:textId="77777777" w:rsidR="00592B5F" w:rsidRPr="00C042A1" w:rsidRDefault="00592B5F" w:rsidP="00106963">
      <w:pPr>
        <w:spacing w:line="360" w:lineRule="auto"/>
        <w:jc w:val="both"/>
        <w:rPr>
          <w:i/>
          <w:iCs/>
        </w:rPr>
      </w:pPr>
      <w:r w:rsidRPr="00C042A1">
        <w:rPr>
          <w:i/>
          <w:iCs/>
        </w:rPr>
        <w:t>Be guided accordingly.</w:t>
      </w:r>
    </w:p>
    <w:p w14:paraId="0A2D49D1" w14:textId="77777777" w:rsidR="00123292" w:rsidRDefault="00123292" w:rsidP="00106963">
      <w:pPr>
        <w:spacing w:line="360" w:lineRule="auto"/>
        <w:jc w:val="both"/>
      </w:pPr>
    </w:p>
    <w:p w14:paraId="06759412" w14:textId="5978672E" w:rsidR="00123292" w:rsidRDefault="005F756A" w:rsidP="00106963">
      <w:pPr>
        <w:spacing w:line="360" w:lineRule="auto"/>
        <w:jc w:val="both"/>
      </w:pPr>
      <w:r w:rsidRPr="005F756A">
        <w:t xml:space="preserve">The court </w:t>
      </w:r>
      <w:r w:rsidRPr="006C434E">
        <w:rPr>
          <w:i/>
          <w:iCs/>
        </w:rPr>
        <w:t>a q</w:t>
      </w:r>
      <w:r w:rsidR="006C434E" w:rsidRPr="006C434E">
        <w:rPr>
          <w:i/>
          <w:iCs/>
        </w:rPr>
        <w:t>uo</w:t>
      </w:r>
      <w:r w:rsidRPr="005F756A">
        <w:t>, in a succinct and well-reasoned judgement, found that the appellant</w:t>
      </w:r>
      <w:r w:rsidR="006C434E">
        <w:t>’s</w:t>
      </w:r>
      <w:r w:rsidRPr="005F756A">
        <w:t xml:space="preserve"> allegation of the agreement having been entered into between Avim</w:t>
      </w:r>
      <w:r w:rsidR="006C434E">
        <w:t xml:space="preserve"> (Private) Ltd</w:t>
      </w:r>
      <w:r w:rsidRPr="005F756A">
        <w:t xml:space="preserve"> and Respondent had not been substantiated, not least given that the person who had allegedly transacted on behalf of Avim had not been identified, not to mention that ind</w:t>
      </w:r>
      <w:r w:rsidR="006C434E">
        <w:t>ividual</w:t>
      </w:r>
      <w:r w:rsidRPr="005F756A">
        <w:t xml:space="preserve"> had not </w:t>
      </w:r>
      <w:r w:rsidR="006C434E">
        <w:t>been brought</w:t>
      </w:r>
      <w:r w:rsidRPr="005F756A">
        <w:t xml:space="preserve"> forth by</w:t>
      </w:r>
      <w:r w:rsidR="006C434E">
        <w:t xml:space="preserve"> the appellant</w:t>
      </w:r>
      <w:r w:rsidR="00F806B8">
        <w:t xml:space="preserve"> by</w:t>
      </w:r>
      <w:r w:rsidRPr="005F756A">
        <w:t xml:space="preserve"> way of affidavit to support such a contention.</w:t>
      </w:r>
    </w:p>
    <w:p w14:paraId="67BE3268" w14:textId="1D838A16" w:rsidR="00123292" w:rsidRDefault="00123292" w:rsidP="00F879C5">
      <w:pPr>
        <w:spacing w:line="360" w:lineRule="auto"/>
        <w:ind w:firstLine="720"/>
        <w:jc w:val="both"/>
      </w:pPr>
      <w:r>
        <w:t xml:space="preserve">The court </w:t>
      </w:r>
      <w:r w:rsidRPr="0059063B">
        <w:rPr>
          <w:i/>
        </w:rPr>
        <w:t>a</w:t>
      </w:r>
      <w:r w:rsidR="0059063B" w:rsidRPr="0059063B">
        <w:rPr>
          <w:i/>
        </w:rPr>
        <w:t xml:space="preserve"> </w:t>
      </w:r>
      <w:r w:rsidRPr="0059063B">
        <w:rPr>
          <w:i/>
        </w:rPr>
        <w:t>quo</w:t>
      </w:r>
      <w:r>
        <w:t xml:space="preserve"> proceeded to address the law on eviction, it being </w:t>
      </w:r>
      <w:r w:rsidR="009E60F5">
        <w:t>predic</w:t>
      </w:r>
      <w:r w:rsidR="006C434E">
        <w:t>a</w:t>
      </w:r>
      <w:r w:rsidR="009E60F5">
        <w:t xml:space="preserve">ted on the </w:t>
      </w:r>
      <w:r w:rsidR="009E60F5" w:rsidRPr="001834EF">
        <w:rPr>
          <w:i/>
          <w:iCs/>
        </w:rPr>
        <w:t xml:space="preserve">rei </w:t>
      </w:r>
      <w:proofErr w:type="spellStart"/>
      <w:r w:rsidR="009E60F5" w:rsidRPr="001834EF">
        <w:rPr>
          <w:i/>
          <w:iCs/>
        </w:rPr>
        <w:t>vindicatio</w:t>
      </w:r>
      <w:proofErr w:type="spellEnd"/>
      <w:r w:rsidR="009E60F5">
        <w:t xml:space="preserve"> which entitles the owner of a</w:t>
      </w:r>
      <w:r w:rsidR="009E60F5" w:rsidRPr="00866D3E">
        <w:rPr>
          <w:i/>
          <w:iCs/>
        </w:rPr>
        <w:t xml:space="preserve"> res</w:t>
      </w:r>
      <w:r w:rsidR="009E60F5">
        <w:t xml:space="preserve"> to obtain possession thereof from a person who retains its </w:t>
      </w:r>
      <w:r w:rsidR="0047732A">
        <w:t>possession without lawful ex</w:t>
      </w:r>
      <w:r w:rsidR="00866D3E">
        <w:t>cuse</w:t>
      </w:r>
      <w:r w:rsidR="0047732A">
        <w:t>.</w:t>
      </w:r>
    </w:p>
    <w:p w14:paraId="06A09EA5" w14:textId="77777777" w:rsidR="00F879C5" w:rsidRDefault="00F879C5" w:rsidP="00F879C5">
      <w:pPr>
        <w:spacing w:line="360" w:lineRule="auto"/>
        <w:ind w:firstLine="720"/>
        <w:jc w:val="both"/>
      </w:pPr>
    </w:p>
    <w:p w14:paraId="5AF2D1C4" w14:textId="76A4EF1A" w:rsidR="00F879C5" w:rsidRDefault="00F879C5" w:rsidP="00F879C5">
      <w:pPr>
        <w:spacing w:line="360" w:lineRule="auto"/>
        <w:ind w:firstLine="720"/>
        <w:jc w:val="both"/>
      </w:pPr>
      <w:r>
        <w:t>Disgruntled by the outcome, the appellant mounted the present appeal.  His grounds of appeal were co</w:t>
      </w:r>
      <w:r w:rsidR="006C434E">
        <w:t>uch</w:t>
      </w:r>
      <w:r>
        <w:t>ed as follows;</w:t>
      </w:r>
    </w:p>
    <w:p w14:paraId="30664464" w14:textId="77777777" w:rsidR="00F879C5" w:rsidRDefault="00F879C5" w:rsidP="00F879C5">
      <w:pPr>
        <w:spacing w:line="360" w:lineRule="auto"/>
        <w:ind w:firstLine="720"/>
        <w:jc w:val="both"/>
      </w:pPr>
    </w:p>
    <w:p w14:paraId="5E5A714A" w14:textId="77777777" w:rsidR="00F879C5" w:rsidRPr="00DC33E7" w:rsidRDefault="00F879C5" w:rsidP="00F879C5">
      <w:pPr>
        <w:pStyle w:val="ListParagraph"/>
        <w:numPr>
          <w:ilvl w:val="0"/>
          <w:numId w:val="5"/>
        </w:numPr>
        <w:spacing w:line="360" w:lineRule="auto"/>
        <w:jc w:val="both"/>
        <w:rPr>
          <w:i/>
          <w:iCs/>
        </w:rPr>
      </w:pPr>
      <w:r w:rsidRPr="00DC33E7">
        <w:rPr>
          <w:i/>
          <w:iCs/>
        </w:rPr>
        <w:t xml:space="preserve">The court quo erred in granting </w:t>
      </w:r>
      <w:r w:rsidR="0063702B" w:rsidRPr="00DC33E7">
        <w:rPr>
          <w:i/>
          <w:iCs/>
        </w:rPr>
        <w:t xml:space="preserve">judgement for eviction in a case where </w:t>
      </w:r>
      <w:r w:rsidR="002642E8">
        <w:rPr>
          <w:i/>
          <w:iCs/>
        </w:rPr>
        <w:t>t</w:t>
      </w:r>
      <w:r w:rsidR="0063702B" w:rsidRPr="00DC33E7">
        <w:rPr>
          <w:i/>
          <w:iCs/>
        </w:rPr>
        <w:t>here was improper citation.  Applicant in the court a quo was wrongly cited as the e</w:t>
      </w:r>
      <w:r w:rsidR="002642E8">
        <w:rPr>
          <w:i/>
          <w:iCs/>
        </w:rPr>
        <w:t>state</w:t>
      </w:r>
      <w:r w:rsidR="0063702B" w:rsidRPr="00DC33E7">
        <w:rPr>
          <w:i/>
          <w:iCs/>
        </w:rPr>
        <w:t xml:space="preserve"> </w:t>
      </w:r>
      <w:r w:rsidR="00CD4386" w:rsidRPr="00DC33E7">
        <w:rPr>
          <w:i/>
          <w:iCs/>
        </w:rPr>
        <w:t>instead</w:t>
      </w:r>
      <w:r w:rsidR="0063702B" w:rsidRPr="00DC33E7">
        <w:rPr>
          <w:i/>
          <w:iCs/>
        </w:rPr>
        <w:t xml:space="preserve"> of the executrix herse</w:t>
      </w:r>
      <w:r w:rsidR="00A649E6">
        <w:rPr>
          <w:i/>
          <w:iCs/>
        </w:rPr>
        <w:t>lf</w:t>
      </w:r>
      <w:r w:rsidR="0063702B" w:rsidRPr="00DC33E7">
        <w:rPr>
          <w:i/>
          <w:iCs/>
        </w:rPr>
        <w:t>.</w:t>
      </w:r>
    </w:p>
    <w:p w14:paraId="4EB9103B" w14:textId="77777777" w:rsidR="0063702B" w:rsidRPr="00DC33E7" w:rsidRDefault="0063702B" w:rsidP="00F879C5">
      <w:pPr>
        <w:pStyle w:val="ListParagraph"/>
        <w:numPr>
          <w:ilvl w:val="0"/>
          <w:numId w:val="5"/>
        </w:numPr>
        <w:spacing w:line="360" w:lineRule="auto"/>
        <w:jc w:val="both"/>
        <w:rPr>
          <w:i/>
          <w:iCs/>
        </w:rPr>
      </w:pPr>
      <w:r w:rsidRPr="00DC33E7">
        <w:rPr>
          <w:i/>
          <w:iCs/>
        </w:rPr>
        <w:t xml:space="preserve">The court a quo erred in granting judgement for eviction in a case that was </w:t>
      </w:r>
      <w:r w:rsidR="0090038C">
        <w:rPr>
          <w:i/>
          <w:iCs/>
        </w:rPr>
        <w:t>r</w:t>
      </w:r>
      <w:r w:rsidR="00033B84" w:rsidRPr="00DC33E7">
        <w:rPr>
          <w:i/>
          <w:iCs/>
        </w:rPr>
        <w:t>eplete</w:t>
      </w:r>
      <w:r w:rsidRPr="00DC33E7">
        <w:rPr>
          <w:i/>
          <w:iCs/>
        </w:rPr>
        <w:t xml:space="preserve"> with material disputes of fact.  The disputes of fact could not and were actually not resolved by the papers filed of record.</w:t>
      </w:r>
    </w:p>
    <w:p w14:paraId="2CB073F0" w14:textId="77777777" w:rsidR="0063702B" w:rsidRPr="00DC33E7" w:rsidRDefault="0063702B" w:rsidP="00F879C5">
      <w:pPr>
        <w:pStyle w:val="ListParagraph"/>
        <w:numPr>
          <w:ilvl w:val="0"/>
          <w:numId w:val="5"/>
        </w:numPr>
        <w:spacing w:line="360" w:lineRule="auto"/>
        <w:jc w:val="both"/>
        <w:rPr>
          <w:i/>
          <w:iCs/>
        </w:rPr>
      </w:pPr>
      <w:r w:rsidRPr="00DC33E7">
        <w:rPr>
          <w:i/>
          <w:iCs/>
        </w:rPr>
        <w:t>The court a quo erred in granting judgement for eviction in the absence of an interested party.  The court a</w:t>
      </w:r>
      <w:r w:rsidR="0059063B" w:rsidRPr="00DC33E7">
        <w:rPr>
          <w:i/>
          <w:iCs/>
        </w:rPr>
        <w:t xml:space="preserve"> </w:t>
      </w:r>
      <w:r w:rsidRPr="00DC33E7">
        <w:rPr>
          <w:i/>
          <w:iCs/>
        </w:rPr>
        <w:t>quo erred in failing to realise that there was a material non</w:t>
      </w:r>
      <w:r w:rsidR="00BB0642">
        <w:rPr>
          <w:i/>
          <w:iCs/>
        </w:rPr>
        <w:t>-</w:t>
      </w:r>
      <w:r w:rsidRPr="00DC33E7">
        <w:rPr>
          <w:i/>
          <w:iCs/>
        </w:rPr>
        <w:t>joinder</w:t>
      </w:r>
      <w:r w:rsidR="00C552A2" w:rsidRPr="00DC33E7">
        <w:rPr>
          <w:i/>
          <w:iCs/>
        </w:rPr>
        <w:t>.</w:t>
      </w:r>
    </w:p>
    <w:p w14:paraId="085C8320" w14:textId="77777777" w:rsidR="009E16F1" w:rsidRDefault="009E16F1" w:rsidP="00C552A2">
      <w:pPr>
        <w:spacing w:line="360" w:lineRule="auto"/>
        <w:ind w:left="720"/>
        <w:jc w:val="both"/>
      </w:pPr>
    </w:p>
    <w:p w14:paraId="601F1A4C" w14:textId="77777777" w:rsidR="009E16F1" w:rsidRDefault="00C552A2" w:rsidP="00B50B12">
      <w:pPr>
        <w:spacing w:line="360" w:lineRule="auto"/>
        <w:ind w:firstLine="720"/>
        <w:jc w:val="both"/>
      </w:pPr>
      <w:r>
        <w:t xml:space="preserve">He therefore sought </w:t>
      </w:r>
      <w:r w:rsidR="00033B84">
        <w:t>a</w:t>
      </w:r>
      <w:r w:rsidR="00A31FDD">
        <w:t>n order</w:t>
      </w:r>
      <w:r w:rsidR="00033B84">
        <w:t xml:space="preserve"> </w:t>
      </w:r>
      <w:r>
        <w:t xml:space="preserve">setting aside the judgement of the court </w:t>
      </w:r>
      <w:r w:rsidRPr="0059063B">
        <w:rPr>
          <w:i/>
        </w:rPr>
        <w:t>a</w:t>
      </w:r>
      <w:r w:rsidR="0059063B" w:rsidRPr="0059063B">
        <w:rPr>
          <w:i/>
        </w:rPr>
        <w:t xml:space="preserve"> </w:t>
      </w:r>
      <w:r w:rsidRPr="0059063B">
        <w:rPr>
          <w:i/>
        </w:rPr>
        <w:t>quo</w:t>
      </w:r>
      <w:r>
        <w:t xml:space="preserve"> and substituting it with</w:t>
      </w:r>
      <w:r w:rsidR="009E16F1">
        <w:t xml:space="preserve"> </w:t>
      </w:r>
      <w:r>
        <w:t>one dismissing the application for eviction with costs.</w:t>
      </w:r>
    </w:p>
    <w:p w14:paraId="605B432A" w14:textId="2732C049" w:rsidR="009E16F1" w:rsidRDefault="009E16F1" w:rsidP="009E16F1">
      <w:pPr>
        <w:spacing w:line="360" w:lineRule="auto"/>
        <w:ind w:firstLine="720"/>
        <w:jc w:val="both"/>
      </w:pPr>
      <w:r>
        <w:t xml:space="preserve">At the commencement of the hearing of the appeal, </w:t>
      </w:r>
      <w:r w:rsidR="006C434E">
        <w:t xml:space="preserve">the </w:t>
      </w:r>
      <w:r>
        <w:t>appellant</w:t>
      </w:r>
      <w:r w:rsidR="006C434E">
        <w:t>’s</w:t>
      </w:r>
      <w:r>
        <w:t xml:space="preserve"> counsel abandoned the first ground of appeal indicating as he did that in his </w:t>
      </w:r>
      <w:r w:rsidR="00B50B12">
        <w:t>vie</w:t>
      </w:r>
      <w:r>
        <w:t>w that the appellant had been properly cited in the founding affidavit.  Tha</w:t>
      </w:r>
      <w:r w:rsidR="007D7E61">
        <w:t>t</w:t>
      </w:r>
      <w:r>
        <w:t xml:space="preserve"> effectively left two grounds of appeal, the one predi</w:t>
      </w:r>
      <w:r w:rsidR="007D7E61">
        <w:t>ca</w:t>
      </w:r>
      <w:r>
        <w:t xml:space="preserve">ted on the alleged material disputes of </w:t>
      </w:r>
      <w:r w:rsidR="009C5A20">
        <w:t>fact</w:t>
      </w:r>
      <w:r>
        <w:t xml:space="preserve"> and the non-joinder of </w:t>
      </w:r>
      <w:r w:rsidR="00033B84">
        <w:t>A</w:t>
      </w:r>
      <w:r w:rsidR="007D7E61">
        <w:t>v</w:t>
      </w:r>
      <w:r w:rsidR="00033B84">
        <w:t>im</w:t>
      </w:r>
      <w:r>
        <w:t xml:space="preserve"> Investments (Pvt) Ltd</w:t>
      </w:r>
      <w:r w:rsidR="009C5A20">
        <w:t>.</w:t>
      </w:r>
    </w:p>
    <w:p w14:paraId="282C8577" w14:textId="77777777" w:rsidR="009E16F1" w:rsidRDefault="009E16F1" w:rsidP="009E16F1">
      <w:pPr>
        <w:spacing w:line="360" w:lineRule="auto"/>
        <w:ind w:firstLine="720"/>
        <w:jc w:val="both"/>
      </w:pPr>
    </w:p>
    <w:p w14:paraId="4F08EC96" w14:textId="364539EF" w:rsidR="009E16F1" w:rsidRPr="00650667" w:rsidRDefault="009E16F1" w:rsidP="009E16F1">
      <w:pPr>
        <w:spacing w:line="360" w:lineRule="auto"/>
        <w:ind w:firstLine="720"/>
        <w:jc w:val="both"/>
        <w:rPr>
          <w:b/>
          <w:bCs/>
        </w:rPr>
      </w:pPr>
      <w:r w:rsidRPr="00650667">
        <w:rPr>
          <w:b/>
          <w:bCs/>
        </w:rPr>
        <w:t>Material Disputes of fact:</w:t>
      </w:r>
    </w:p>
    <w:p w14:paraId="70DD596E" w14:textId="2780D07B" w:rsidR="009E16F1" w:rsidRDefault="009E16F1" w:rsidP="009E16F1">
      <w:pPr>
        <w:spacing w:line="360" w:lineRule="auto"/>
        <w:ind w:firstLine="720"/>
        <w:jc w:val="both"/>
      </w:pPr>
      <w:r>
        <w:t>The appellant submitted heads of argument the high watermark of whose argument on t</w:t>
      </w:r>
      <w:r w:rsidR="00C70ABA">
        <w:t xml:space="preserve">his point </w:t>
      </w:r>
      <w:r w:rsidR="0027019A">
        <w:t>was</w:t>
      </w:r>
      <w:r>
        <w:t xml:space="preserve"> that</w:t>
      </w:r>
      <w:r w:rsidR="007D7E61">
        <w:t xml:space="preserve"> the notice to vacate having been issued by one Mrs Matondo yet the application had been brought by the respondent, the court was not in a position to decide from the papers whether the two were one and the same person. </w:t>
      </w:r>
    </w:p>
    <w:p w14:paraId="626C5D34" w14:textId="4A2F58FA" w:rsidR="007D7E61" w:rsidRDefault="007D7E61" w:rsidP="009E16F1">
      <w:pPr>
        <w:spacing w:line="360" w:lineRule="auto"/>
        <w:ind w:firstLine="720"/>
        <w:jc w:val="both"/>
      </w:pPr>
      <w:r>
        <w:t>Secondly, it was submitted on behalf of the appellant that the true identity of the person who had entered into the agreement with the appellant had not been established with any degree of certainty and that necessitated referring the matter to trial.</w:t>
      </w:r>
    </w:p>
    <w:p w14:paraId="4599DF74" w14:textId="10510189" w:rsidR="009E2211" w:rsidRDefault="009E16F1" w:rsidP="009E16F1">
      <w:pPr>
        <w:spacing w:line="360" w:lineRule="auto"/>
        <w:ind w:firstLine="720"/>
        <w:jc w:val="both"/>
      </w:pPr>
      <w:r>
        <w:t xml:space="preserve">Of primary importance </w:t>
      </w:r>
      <w:r w:rsidR="0034230A">
        <w:t xml:space="preserve">in this regard </w:t>
      </w:r>
      <w:r w:rsidR="00076366">
        <w:t>wa</w:t>
      </w:r>
      <w:r w:rsidR="0034230A">
        <w:t>s whether or not there were material dispute</w:t>
      </w:r>
      <w:r w:rsidR="00285827">
        <w:t>s</w:t>
      </w:r>
      <w:r w:rsidR="0034230A">
        <w:t xml:space="preserve"> of fact</w:t>
      </w:r>
      <w:r w:rsidR="00076366">
        <w:t xml:space="preserve"> which rendered the dispute incapable of resolution without the leading of further evidence.</w:t>
      </w:r>
      <w:r w:rsidR="0034230A">
        <w:t xml:space="preserve">  This question </w:t>
      </w:r>
      <w:r w:rsidR="00076366">
        <w:t>stood</w:t>
      </w:r>
      <w:r w:rsidR="0034230A">
        <w:t xml:space="preserve"> to be answered against the trite principle that for a </w:t>
      </w:r>
      <w:r w:rsidR="00285827">
        <w:t>de</w:t>
      </w:r>
      <w:r w:rsidR="007D7E61">
        <w:t>ponent</w:t>
      </w:r>
      <w:r w:rsidR="009E2211">
        <w:t xml:space="preserve"> to allege the existence of material disputes of </w:t>
      </w:r>
      <w:r w:rsidR="00033B84">
        <w:t>fact,</w:t>
      </w:r>
      <w:r w:rsidR="009E2211">
        <w:t xml:space="preserve"> he must establish a real issue of fact which cannot satisfactorily be determined without the aid of oral evidence.  He must not make a bare denial or </w:t>
      </w:r>
      <w:r w:rsidR="009E2211">
        <w:lastRenderedPageBreak/>
        <w:t xml:space="preserve">merely allege a dispute, </w:t>
      </w:r>
      <w:r w:rsidR="00285827">
        <w:t>see</w:t>
      </w:r>
      <w:r w:rsidR="009E2211">
        <w:t xml:space="preserve"> </w:t>
      </w:r>
      <w:r w:rsidR="009E2211" w:rsidRPr="0059063B">
        <w:rPr>
          <w:i/>
        </w:rPr>
        <w:t>Room Hire Co v Jeppe Street Mansions</w:t>
      </w:r>
      <w:r w:rsidR="009E2211">
        <w:t xml:space="preserve"> 1949 (3) SA 1155; </w:t>
      </w:r>
      <w:r w:rsidR="009E2211" w:rsidRPr="0059063B">
        <w:rPr>
          <w:i/>
        </w:rPr>
        <w:t>Ismail and</w:t>
      </w:r>
      <w:r w:rsidR="009E2211">
        <w:t xml:space="preserve"> </w:t>
      </w:r>
      <w:r w:rsidR="007D7E61">
        <w:rPr>
          <w:i/>
        </w:rPr>
        <w:t>Anor</w:t>
      </w:r>
      <w:r w:rsidR="009E2211" w:rsidRPr="0059063B">
        <w:rPr>
          <w:i/>
        </w:rPr>
        <w:t xml:space="preserve"> v Durban City Council</w:t>
      </w:r>
      <w:r w:rsidR="009E2211">
        <w:t xml:space="preserve"> 1973 (2) SA 362 (N) at 374; </w:t>
      </w:r>
      <w:r w:rsidR="009E2211" w:rsidRPr="0059063B">
        <w:rPr>
          <w:i/>
        </w:rPr>
        <w:t>Peterson v Cuthbert &amp; Co Ltd</w:t>
      </w:r>
      <w:r w:rsidR="009E2211">
        <w:t xml:space="preserve"> 1945 AD 420 at 428</w:t>
      </w:r>
      <w:r w:rsidR="006A5C85">
        <w:t>.</w:t>
      </w:r>
      <w:r w:rsidR="009E2211">
        <w:t xml:space="preserve"> </w:t>
      </w:r>
      <w:r w:rsidR="006A5C85">
        <w:t>I</w:t>
      </w:r>
      <w:r w:rsidR="009E2211">
        <w:t xml:space="preserve">n the </w:t>
      </w:r>
      <w:r w:rsidR="009E2211" w:rsidRPr="0059063B">
        <w:rPr>
          <w:i/>
        </w:rPr>
        <w:t>Peterson Case</w:t>
      </w:r>
      <w:r w:rsidR="009E2211">
        <w:t xml:space="preserve"> (</w:t>
      </w:r>
      <w:r w:rsidR="009E2211" w:rsidRPr="006A5C85">
        <w:rPr>
          <w:i/>
          <w:iCs/>
        </w:rPr>
        <w:t>supr</w:t>
      </w:r>
      <w:r w:rsidR="00285827" w:rsidRPr="006A5C85">
        <w:rPr>
          <w:i/>
          <w:iCs/>
        </w:rPr>
        <w:t>a</w:t>
      </w:r>
      <w:r w:rsidR="009E2211">
        <w:t>) the court pointed out that the respondent</w:t>
      </w:r>
      <w:r w:rsidR="006A5C85">
        <w:t>’s</w:t>
      </w:r>
      <w:r w:rsidR="009E2211">
        <w:t xml:space="preserve"> allegation of the existence of a dispute of f</w:t>
      </w:r>
      <w:r w:rsidR="00B43FFA">
        <w:t>act</w:t>
      </w:r>
      <w:r w:rsidR="009E2211">
        <w:t xml:space="preserve"> alone is not sufficient to deem an application incapable of resolution on the p</w:t>
      </w:r>
      <w:r w:rsidR="006A5C85">
        <w:t>apers for</w:t>
      </w:r>
      <w:r w:rsidR="009E2211">
        <w:t xml:space="preserve"> to do so would allow the respondent to raise fictitious issues of fact to delay the proceedings.</w:t>
      </w:r>
    </w:p>
    <w:p w14:paraId="246279CE" w14:textId="435813CD" w:rsidR="0086545F" w:rsidRDefault="00076366" w:rsidP="0086545F">
      <w:pPr>
        <w:spacing w:line="360" w:lineRule="auto"/>
        <w:ind w:firstLine="720"/>
        <w:jc w:val="both"/>
      </w:pPr>
      <w:r>
        <w:t>We also remained cognisant of</w:t>
      </w:r>
      <w:r w:rsidR="0086545F">
        <w:t xml:space="preserve"> the established position that even where material disputes of fact are perceived to exist, the court </w:t>
      </w:r>
      <w:r>
        <w:t>would</w:t>
      </w:r>
      <w:r w:rsidR="0086545F">
        <w:t xml:space="preserve"> </w:t>
      </w:r>
      <w:r>
        <w:t xml:space="preserve">still be </w:t>
      </w:r>
      <w:r w:rsidR="0086545F">
        <w:t>expected to take a robust and common-sense approach and resolve the matter on the affidavit evidence</w:t>
      </w:r>
      <w:r>
        <w:t>, see</w:t>
      </w:r>
      <w:r w:rsidRPr="00076366">
        <w:rPr>
          <w:i/>
        </w:rPr>
        <w:t xml:space="preserve"> Muzanenhamo v Officer in charge CID Law &amp; Order and </w:t>
      </w:r>
      <w:proofErr w:type="spellStart"/>
      <w:r w:rsidRPr="00076366">
        <w:rPr>
          <w:i/>
        </w:rPr>
        <w:t>Ors</w:t>
      </w:r>
      <w:proofErr w:type="spellEnd"/>
      <w:r w:rsidRPr="00076366">
        <w:rPr>
          <w:i/>
        </w:rPr>
        <w:t xml:space="preserve"> </w:t>
      </w:r>
      <w:r w:rsidRPr="00076366">
        <w:t>CCZ 3/13</w:t>
      </w:r>
      <w:r>
        <w:t>;</w:t>
      </w:r>
      <w:r w:rsidRPr="00076366">
        <w:rPr>
          <w:i/>
          <w:iCs/>
          <w:lang w:val="en-US"/>
        </w:rPr>
        <w:t xml:space="preserve"> </w:t>
      </w:r>
      <w:proofErr w:type="spellStart"/>
      <w:r w:rsidRPr="00076366">
        <w:rPr>
          <w:i/>
          <w:iCs/>
          <w:lang w:val="en-US"/>
        </w:rPr>
        <w:t>Masukusa</w:t>
      </w:r>
      <w:proofErr w:type="spellEnd"/>
      <w:r w:rsidRPr="00076366">
        <w:rPr>
          <w:i/>
          <w:iCs/>
          <w:lang w:val="en-US"/>
        </w:rPr>
        <w:t xml:space="preserve"> v National Foods Ltd &amp; Anor 1983 (1) ZLR 232 (HC)</w:t>
      </w:r>
      <w:r>
        <w:rPr>
          <w:i/>
          <w:iCs/>
          <w:lang w:val="en-US"/>
        </w:rPr>
        <w:t xml:space="preserve"> &amp;</w:t>
      </w:r>
      <w:r w:rsidR="0086545F">
        <w:t xml:space="preserve"> </w:t>
      </w:r>
      <w:proofErr w:type="spellStart"/>
      <w:r w:rsidR="0086545F" w:rsidRPr="00033B84">
        <w:rPr>
          <w:i/>
        </w:rPr>
        <w:t>Soffiatini</w:t>
      </w:r>
      <w:proofErr w:type="spellEnd"/>
      <w:r w:rsidR="0086545F" w:rsidRPr="00033B84">
        <w:rPr>
          <w:i/>
        </w:rPr>
        <w:t xml:space="preserve"> v Mould</w:t>
      </w:r>
      <w:r w:rsidR="0086545F">
        <w:t xml:space="preserve"> 1956(4) SA 150</w:t>
      </w:r>
      <w:r>
        <w:t>. In the latter case</w:t>
      </w:r>
      <w:r w:rsidR="0086545F">
        <w:t xml:space="preserve"> the following was said:</w:t>
      </w:r>
    </w:p>
    <w:p w14:paraId="70E793AC" w14:textId="77777777" w:rsidR="0086545F" w:rsidRPr="00A6785F" w:rsidRDefault="0086545F" w:rsidP="0086545F">
      <w:pPr>
        <w:spacing w:line="360" w:lineRule="auto"/>
        <w:ind w:left="720" w:firstLine="720"/>
        <w:jc w:val="both"/>
        <w:rPr>
          <w:i/>
          <w:iCs/>
        </w:rPr>
      </w:pPr>
      <w:r w:rsidRPr="00A6785F">
        <w:rPr>
          <w:i/>
          <w:iCs/>
        </w:rPr>
        <w:t>“It is necessary to take a robust common-sense approach to dis</w:t>
      </w:r>
      <w:r>
        <w:rPr>
          <w:i/>
          <w:iCs/>
        </w:rPr>
        <w:t>pute</w:t>
      </w:r>
      <w:r w:rsidRPr="00A6785F">
        <w:rPr>
          <w:i/>
          <w:iCs/>
        </w:rPr>
        <w:t xml:space="preserve"> </w:t>
      </w:r>
      <w:r>
        <w:rPr>
          <w:i/>
          <w:iCs/>
        </w:rPr>
        <w:t>on</w:t>
      </w:r>
      <w:r w:rsidRPr="00A6785F">
        <w:rPr>
          <w:i/>
          <w:iCs/>
        </w:rPr>
        <w:t xml:space="preserve"> motion as otherwise the effective functioning of the court can be hamstrung and circumvented by the simple and blatant stratagem.  The court must not hesitate to decide on an issue merely because it may be difficult to do so. Justice can be defeated or seriously impeded by an over fastidious approach of a dispute raised in affidavit.”</w:t>
      </w:r>
    </w:p>
    <w:p w14:paraId="7F192464" w14:textId="77777777" w:rsidR="0086545F" w:rsidRDefault="0086545F" w:rsidP="0086545F">
      <w:pPr>
        <w:spacing w:line="360" w:lineRule="auto"/>
        <w:ind w:firstLine="720"/>
        <w:jc w:val="both"/>
      </w:pPr>
    </w:p>
    <w:p w14:paraId="02961ABA" w14:textId="5323596A" w:rsidR="0086545F" w:rsidRDefault="0086545F" w:rsidP="0086545F">
      <w:pPr>
        <w:spacing w:line="360" w:lineRule="auto"/>
        <w:ind w:firstLine="720"/>
        <w:jc w:val="both"/>
      </w:pPr>
      <w:r>
        <w:t xml:space="preserve">Similarly, in </w:t>
      </w:r>
      <w:r w:rsidRPr="00033B84">
        <w:rPr>
          <w:i/>
        </w:rPr>
        <w:t>Zimbabwe B</w:t>
      </w:r>
      <w:r>
        <w:rPr>
          <w:i/>
        </w:rPr>
        <w:t>o</w:t>
      </w:r>
      <w:r w:rsidRPr="00033B84">
        <w:rPr>
          <w:i/>
        </w:rPr>
        <w:t>nd</w:t>
      </w:r>
      <w:r>
        <w:rPr>
          <w:i/>
        </w:rPr>
        <w:t>ed</w:t>
      </w:r>
      <w:r w:rsidRPr="00033B84">
        <w:rPr>
          <w:i/>
        </w:rPr>
        <w:t xml:space="preserve"> Fibre-glass (Private) Limited v Leech</w:t>
      </w:r>
      <w:r>
        <w:t xml:space="preserve"> 1987 (2) ZLR 338 at 339 C-E the following was stated.</w:t>
      </w:r>
    </w:p>
    <w:p w14:paraId="538BF190" w14:textId="47E3F661" w:rsidR="0086545F" w:rsidRPr="00A6785F" w:rsidRDefault="0086545F" w:rsidP="0086545F">
      <w:pPr>
        <w:spacing w:line="276" w:lineRule="auto"/>
        <w:ind w:left="720" w:firstLine="720"/>
        <w:jc w:val="both"/>
        <w:rPr>
          <w:i/>
          <w:iCs/>
        </w:rPr>
      </w:pPr>
      <w:r w:rsidRPr="00A6785F">
        <w:rPr>
          <w:i/>
          <w:iCs/>
        </w:rPr>
        <w:t>“</w:t>
      </w:r>
      <w:r w:rsidRPr="00030159">
        <w:rPr>
          <w:i/>
          <w:iCs/>
          <w:lang w:val="en-US"/>
        </w:rPr>
        <w:t xml:space="preserve">It is, I think, well established that in motion proceedings a court should </w:t>
      </w:r>
      <w:proofErr w:type="spellStart"/>
      <w:r w:rsidRPr="00030159">
        <w:rPr>
          <w:i/>
          <w:iCs/>
          <w:lang w:val="en-US"/>
        </w:rPr>
        <w:t>endeavour</w:t>
      </w:r>
      <w:proofErr w:type="spellEnd"/>
      <w:r w:rsidRPr="00030159">
        <w:rPr>
          <w:i/>
          <w:iCs/>
          <w:lang w:val="en-US"/>
        </w:rPr>
        <w:t xml:space="preserve"> to resolve the dispute raised in affidavits without the hearing of evidence. It must take a robust and </w:t>
      </w:r>
      <w:proofErr w:type="gramStart"/>
      <w:r w:rsidRPr="00030159">
        <w:rPr>
          <w:i/>
          <w:iCs/>
          <w:lang w:val="en-US"/>
        </w:rPr>
        <w:t>common sense</w:t>
      </w:r>
      <w:proofErr w:type="gramEnd"/>
      <w:r w:rsidRPr="00030159">
        <w:rPr>
          <w:i/>
          <w:iCs/>
          <w:lang w:val="en-US"/>
        </w:rPr>
        <w:t xml:space="preserve"> approach and not an over fastidious one; always provided that it is convinced that there is no real possibility of any resolution doing an injustice to the other party concerned. </w:t>
      </w:r>
      <w:r w:rsidR="00577169" w:rsidRPr="00030159">
        <w:rPr>
          <w:i/>
          <w:iCs/>
          <w:lang w:val="en-US"/>
        </w:rPr>
        <w:t>Consequently,</w:t>
      </w:r>
      <w:r w:rsidRPr="00030159">
        <w:rPr>
          <w:i/>
          <w:iCs/>
          <w:lang w:val="en-US"/>
        </w:rPr>
        <w:t xml:space="preserve"> there is a heavy onus upon an applicant seeking relief in motion proceedings, without the calling of evidence, where there is a bona fide and not merely an illusory dispute of fact. See Room Hire Co (Pty) Ltd v Jeppe Street Mansions (Pty) Ltd 1949 (3) SA 1155 (T) at 1165; </w:t>
      </w:r>
      <w:proofErr w:type="spellStart"/>
      <w:r w:rsidRPr="00030159">
        <w:rPr>
          <w:i/>
          <w:iCs/>
          <w:lang w:val="en-US"/>
        </w:rPr>
        <w:t>Soffiantini</w:t>
      </w:r>
      <w:proofErr w:type="spellEnd"/>
      <w:r w:rsidRPr="00030159">
        <w:rPr>
          <w:i/>
          <w:iCs/>
          <w:lang w:val="en-US"/>
        </w:rPr>
        <w:t xml:space="preserve"> v </w:t>
      </w:r>
      <w:proofErr w:type="spellStart"/>
      <w:r w:rsidRPr="00030159">
        <w:rPr>
          <w:i/>
          <w:iCs/>
          <w:lang w:val="en-US"/>
        </w:rPr>
        <w:t>Mould</w:t>
      </w:r>
      <w:proofErr w:type="spellEnd"/>
      <w:r w:rsidRPr="00030159">
        <w:rPr>
          <w:i/>
          <w:iCs/>
          <w:lang w:val="en-US"/>
        </w:rPr>
        <w:t xml:space="preserve"> 1956 (4) SA 150 (E) at 154; </w:t>
      </w:r>
      <w:proofErr w:type="spellStart"/>
      <w:r w:rsidRPr="00030159">
        <w:rPr>
          <w:i/>
          <w:iCs/>
          <w:lang w:val="en-US"/>
        </w:rPr>
        <w:t>Joosab</w:t>
      </w:r>
      <w:proofErr w:type="spellEnd"/>
      <w:r w:rsidRPr="00030159">
        <w:rPr>
          <w:i/>
          <w:iCs/>
          <w:lang w:val="en-US"/>
        </w:rPr>
        <w:t xml:space="preserve"> &amp; </w:t>
      </w:r>
      <w:proofErr w:type="spellStart"/>
      <w:r w:rsidRPr="00030159">
        <w:rPr>
          <w:i/>
          <w:iCs/>
          <w:lang w:val="en-US"/>
        </w:rPr>
        <w:t>Ors</w:t>
      </w:r>
      <w:proofErr w:type="spellEnd"/>
      <w:r w:rsidRPr="00030159">
        <w:rPr>
          <w:i/>
          <w:iCs/>
          <w:lang w:val="en-US"/>
        </w:rPr>
        <w:t xml:space="preserve"> v Shah 1972 (1) RLR 137 (G) at 138G-H; Lalla v Spafford NO &amp; </w:t>
      </w:r>
      <w:proofErr w:type="spellStart"/>
      <w:r w:rsidRPr="00030159">
        <w:rPr>
          <w:i/>
          <w:iCs/>
          <w:lang w:val="en-US"/>
        </w:rPr>
        <w:t>Ors</w:t>
      </w:r>
      <w:proofErr w:type="spellEnd"/>
      <w:r w:rsidRPr="00030159">
        <w:rPr>
          <w:i/>
          <w:iCs/>
          <w:lang w:val="en-US"/>
        </w:rPr>
        <w:t xml:space="preserve"> 1973 (2) RLR 241 (G) at 243B; </w:t>
      </w:r>
      <w:bookmarkStart w:id="0" w:name="_Hlk149291850"/>
      <w:proofErr w:type="spellStart"/>
      <w:r w:rsidRPr="00030159">
        <w:rPr>
          <w:i/>
          <w:iCs/>
          <w:lang w:val="en-US"/>
        </w:rPr>
        <w:t>Masukusa</w:t>
      </w:r>
      <w:proofErr w:type="spellEnd"/>
      <w:r w:rsidRPr="00030159">
        <w:rPr>
          <w:i/>
          <w:iCs/>
          <w:lang w:val="en-US"/>
        </w:rPr>
        <w:t xml:space="preserve"> v National Foods Ltd &amp; Anor 1983 (1) ZLR 232 (HC). </w:t>
      </w:r>
      <w:bookmarkEnd w:id="0"/>
    </w:p>
    <w:p w14:paraId="4EEEEABA" w14:textId="306178FA" w:rsidR="0086545F" w:rsidRDefault="0086545F" w:rsidP="00076366">
      <w:pPr>
        <w:spacing w:line="276" w:lineRule="auto"/>
        <w:jc w:val="both"/>
      </w:pPr>
    </w:p>
    <w:p w14:paraId="3EAFB86A" w14:textId="77777777" w:rsidR="0086545F" w:rsidRDefault="0086545F" w:rsidP="0086545F">
      <w:pPr>
        <w:spacing w:line="360" w:lineRule="auto"/>
        <w:ind w:firstLine="720"/>
        <w:jc w:val="both"/>
      </w:pPr>
    </w:p>
    <w:p w14:paraId="0ADE668A" w14:textId="77777777" w:rsidR="00577169" w:rsidRDefault="0086545F" w:rsidP="00577169">
      <w:pPr>
        <w:spacing w:line="360" w:lineRule="auto"/>
        <w:ind w:firstLine="720"/>
        <w:jc w:val="both"/>
      </w:pPr>
      <w:r>
        <w:lastRenderedPageBreak/>
        <w:t xml:space="preserve">It </w:t>
      </w:r>
      <w:r w:rsidR="00577169">
        <w:t>was</w:t>
      </w:r>
      <w:r>
        <w:t xml:space="preserve"> against the background</w:t>
      </w:r>
      <w:r w:rsidR="00577169">
        <w:t xml:space="preserve"> of the application</w:t>
      </w:r>
      <w:r>
        <w:t xml:space="preserve"> of th</w:t>
      </w:r>
      <w:r w:rsidR="00577169">
        <w:t>o</w:t>
      </w:r>
      <w:r>
        <w:t>se</w:t>
      </w:r>
      <w:r w:rsidR="00577169">
        <w:t xml:space="preserve"> two</w:t>
      </w:r>
      <w:r>
        <w:t xml:space="preserve"> related principles that we </w:t>
      </w:r>
      <w:r w:rsidR="00577169">
        <w:t>disposed of the ground of appeal predicated on the alleged existence of material disputes of fact (i.e., ground number 2 above) and in part the 3</w:t>
      </w:r>
      <w:r w:rsidR="00577169" w:rsidRPr="00577169">
        <w:rPr>
          <w:vertAlign w:val="superscript"/>
        </w:rPr>
        <w:t>rd</w:t>
      </w:r>
      <w:r w:rsidR="00577169">
        <w:t xml:space="preserve"> ground of appeal as well. W</w:t>
      </w:r>
      <w:r w:rsidR="009E2211">
        <w:t xml:space="preserve">e found that there were no real disputes </w:t>
      </w:r>
      <w:r w:rsidR="00D90892">
        <w:t xml:space="preserve">of fact hence we rejected the </w:t>
      </w:r>
      <w:r w:rsidR="006A5C85">
        <w:t>argument</w:t>
      </w:r>
      <w:r w:rsidR="00D90892">
        <w:t xml:space="preserve">. </w:t>
      </w:r>
    </w:p>
    <w:p w14:paraId="5887CDCD" w14:textId="38AEDB4E" w:rsidR="004418E4" w:rsidRDefault="00D90892" w:rsidP="004418E4">
      <w:pPr>
        <w:spacing w:line="360" w:lineRule="auto"/>
        <w:ind w:firstLine="720"/>
        <w:jc w:val="both"/>
      </w:pPr>
      <w:r>
        <w:t xml:space="preserve"> </w:t>
      </w:r>
      <w:r w:rsidR="006A5C85">
        <w:t>T</w:t>
      </w:r>
      <w:r>
        <w:t xml:space="preserve">he first purported dispute of fact related to the person with whom the appellant </w:t>
      </w:r>
      <w:r w:rsidR="00081927">
        <w:t>contr</w:t>
      </w:r>
      <w:r w:rsidR="006A5C85">
        <w:t>a</w:t>
      </w:r>
      <w:r w:rsidR="00081927">
        <w:t>cted in respect of the lease agreement</w:t>
      </w:r>
      <w:r w:rsidR="00577169">
        <w:t xml:space="preserve"> broadly and the identity of the person at whose behest the notice to vacate was issued in particular.</w:t>
      </w:r>
      <w:r w:rsidR="00081927">
        <w:t xml:space="preserve">  As correctly pointed out by the court </w:t>
      </w:r>
      <w:r w:rsidR="00081927" w:rsidRPr="0059063B">
        <w:rPr>
          <w:i/>
        </w:rPr>
        <w:t>a</w:t>
      </w:r>
      <w:r w:rsidR="0059063B" w:rsidRPr="0059063B">
        <w:rPr>
          <w:i/>
        </w:rPr>
        <w:t xml:space="preserve"> </w:t>
      </w:r>
      <w:r w:rsidR="00081927" w:rsidRPr="0059063B">
        <w:rPr>
          <w:i/>
        </w:rPr>
        <w:t>quo,</w:t>
      </w:r>
      <w:r w:rsidR="00081927">
        <w:t xml:space="preserve"> the respondent averred that she is one and the same person as Mrs</w:t>
      </w:r>
      <w:r w:rsidR="00F806B8">
        <w:t>.</w:t>
      </w:r>
      <w:r w:rsidR="00081927">
        <w:t xml:space="preserve"> Matondo.</w:t>
      </w:r>
      <w:r w:rsidR="004418E4" w:rsidRPr="004418E4">
        <w:t xml:space="preserve"> In his heads of argument, the appellant took issue with the fact that the court a quo referred to Matondo as the respondent’s husband’s surname when such an averment does not appear ex-facie the papers. To adopt such an approach would be to lose the essence of what is meant by “robust and common sense” What the designation “</w:t>
      </w:r>
      <w:r w:rsidR="004418E4" w:rsidRPr="004418E4">
        <w:rPr>
          <w:i/>
        </w:rPr>
        <w:t>Mrs.”</w:t>
      </w:r>
      <w:r w:rsidR="004418E4" w:rsidRPr="004418E4">
        <w:t xml:space="preserve"> is apt to convey when used conjunctively with the surname Matondo is that that is her married surname.</w:t>
      </w:r>
      <w:r w:rsidR="004418E4">
        <w:t xml:space="preserve"> The Concise Oxford dictionary 11</w:t>
      </w:r>
      <w:r w:rsidR="004418E4" w:rsidRPr="004418E4">
        <w:rPr>
          <w:vertAlign w:val="superscript"/>
        </w:rPr>
        <w:t>th</w:t>
      </w:r>
      <w:r w:rsidR="004418E4">
        <w:t xml:space="preserve"> edition gives the meaning of Mrs as:</w:t>
      </w:r>
    </w:p>
    <w:p w14:paraId="272019DA" w14:textId="3D659C26" w:rsidR="004418E4" w:rsidRDefault="004418E4" w:rsidP="004418E4">
      <w:pPr>
        <w:spacing w:line="360" w:lineRule="auto"/>
        <w:ind w:left="720" w:firstLine="720"/>
        <w:jc w:val="both"/>
        <w:rPr>
          <w:i/>
        </w:rPr>
      </w:pPr>
      <w:r w:rsidRPr="004418E4">
        <w:rPr>
          <w:i/>
        </w:rPr>
        <w:t>“a title used before a surname or full name to address or refer to a married woman without a higher or honorific title.”</w:t>
      </w:r>
    </w:p>
    <w:p w14:paraId="7E2435EB" w14:textId="77777777" w:rsidR="004418E4" w:rsidRPr="004418E4" w:rsidRDefault="004418E4" w:rsidP="004418E4">
      <w:pPr>
        <w:spacing w:line="360" w:lineRule="auto"/>
        <w:ind w:left="720" w:firstLine="720"/>
        <w:jc w:val="both"/>
        <w:rPr>
          <w:i/>
        </w:rPr>
      </w:pPr>
    </w:p>
    <w:p w14:paraId="3A0D86C4" w14:textId="53F69C89" w:rsidR="00081927" w:rsidRDefault="003B44ED" w:rsidP="00577169">
      <w:pPr>
        <w:spacing w:line="360" w:lineRule="auto"/>
        <w:ind w:firstLine="720"/>
        <w:jc w:val="both"/>
      </w:pPr>
      <w:r>
        <w:t xml:space="preserve"> </w:t>
      </w:r>
      <w:r w:rsidR="006A5C85">
        <w:t>Indeed,</w:t>
      </w:r>
      <w:r w:rsidR="00081927">
        <w:t xml:space="preserve"> it is not uncommon for </w:t>
      </w:r>
      <w:r w:rsidR="006A5C85">
        <w:t xml:space="preserve">a </w:t>
      </w:r>
      <w:r w:rsidR="00081927">
        <w:t>wom</w:t>
      </w:r>
      <w:r w:rsidR="006A5C85">
        <w:t>a</w:t>
      </w:r>
      <w:r w:rsidR="00081927">
        <w:t xml:space="preserve">n in the position as the respondent to identify herself in social </w:t>
      </w:r>
      <w:r w:rsidR="006A5C85">
        <w:t xml:space="preserve">and other </w:t>
      </w:r>
      <w:r w:rsidR="00081927">
        <w:t xml:space="preserve">engagements </w:t>
      </w:r>
      <w:r w:rsidR="006A5C85">
        <w:t>to use</w:t>
      </w:r>
      <w:r w:rsidR="00081927">
        <w:t xml:space="preserve"> her husband’s surname when in fact </w:t>
      </w:r>
      <w:r w:rsidR="006A5C85">
        <w:t>her</w:t>
      </w:r>
      <w:r w:rsidR="00081927">
        <w:t xml:space="preserve"> official registration particulars bear </w:t>
      </w:r>
      <w:r w:rsidR="006A5C85">
        <w:t>her</w:t>
      </w:r>
      <w:r w:rsidR="00081927">
        <w:t xml:space="preserve"> maiden surname.  The respondent indicated in her answering affidavit that when she entered into the oral agreement with the </w:t>
      </w:r>
      <w:r>
        <w:t>appellant,</w:t>
      </w:r>
      <w:r w:rsidR="00081927">
        <w:t xml:space="preserve"> she used the name that appellant was familiar with, namely Mrs</w:t>
      </w:r>
      <w:r w:rsidR="00F806B8">
        <w:t>.</w:t>
      </w:r>
      <w:r w:rsidR="00081927">
        <w:t xml:space="preserve"> Matondo.  The appellant did not in the lease dispute that averment.</w:t>
      </w:r>
      <w:r w:rsidR="006A5C85">
        <w:t xml:space="preserve"> </w:t>
      </w:r>
    </w:p>
    <w:p w14:paraId="5CC3897E" w14:textId="77777777" w:rsidR="00AF743B" w:rsidRDefault="00AF743B" w:rsidP="009E16F1">
      <w:pPr>
        <w:spacing w:line="360" w:lineRule="auto"/>
        <w:ind w:firstLine="720"/>
        <w:jc w:val="both"/>
      </w:pPr>
      <w:r>
        <w:t>The appellant conveniently turns a blind eye to paragraph 8 of the respondent’s answering affidavit where she averred as follows:</w:t>
      </w:r>
    </w:p>
    <w:p w14:paraId="173514E3" w14:textId="5C098851" w:rsidR="00AF743B" w:rsidRPr="00AF743B" w:rsidRDefault="00AF743B" w:rsidP="00AF743B">
      <w:pPr>
        <w:spacing w:line="360" w:lineRule="auto"/>
        <w:ind w:left="1440" w:firstLine="720"/>
        <w:jc w:val="both"/>
        <w:rPr>
          <w:i/>
          <w:iCs/>
          <w:u w:val="single"/>
        </w:rPr>
      </w:pPr>
      <w:r w:rsidRPr="00AF743B">
        <w:rPr>
          <w:i/>
          <w:iCs/>
          <w:u w:val="single"/>
        </w:rPr>
        <w:t>“Ref ad paragraph 8</w:t>
      </w:r>
    </w:p>
    <w:p w14:paraId="367AD1C2" w14:textId="4B6CAABA" w:rsidR="00AF743B" w:rsidRPr="00AF743B" w:rsidRDefault="00AF743B" w:rsidP="00AF743B">
      <w:pPr>
        <w:spacing w:line="360" w:lineRule="auto"/>
        <w:ind w:left="1440" w:firstLine="720"/>
        <w:jc w:val="both"/>
        <w:rPr>
          <w:b/>
          <w:bCs/>
          <w:i/>
          <w:iCs/>
        </w:rPr>
      </w:pPr>
      <w:r w:rsidRPr="00AF743B">
        <w:rPr>
          <w:i/>
          <w:iCs/>
        </w:rPr>
        <w:t xml:space="preserve">This is denied. The respondent was served with a three </w:t>
      </w:r>
      <w:r w:rsidR="00F806B8" w:rsidRPr="00AF743B">
        <w:rPr>
          <w:i/>
          <w:iCs/>
        </w:rPr>
        <w:t>months’ notice</w:t>
      </w:r>
      <w:r w:rsidRPr="00AF743B">
        <w:rPr>
          <w:i/>
          <w:iCs/>
        </w:rPr>
        <w:t xml:space="preserve"> specifically stating that he should vacate Number 14 Charles Street. </w:t>
      </w:r>
      <w:r w:rsidRPr="00AF743B">
        <w:rPr>
          <w:b/>
          <w:bCs/>
          <w:i/>
          <w:iCs/>
        </w:rPr>
        <w:t xml:space="preserve">The respondent is well acquainted with me and he is very much aware that I am Mrs </w:t>
      </w:r>
      <w:r w:rsidRPr="00AF743B">
        <w:rPr>
          <w:b/>
          <w:bCs/>
          <w:i/>
          <w:iCs/>
        </w:rPr>
        <w:lastRenderedPageBreak/>
        <w:t>Matondo. I used this name because that is the name that the respondent was much familiar with.”</w:t>
      </w:r>
    </w:p>
    <w:p w14:paraId="6FE99624" w14:textId="41EC0CCE" w:rsidR="00D461EC" w:rsidRDefault="00081927" w:rsidP="00D461EC">
      <w:pPr>
        <w:spacing w:line="360" w:lineRule="auto"/>
        <w:ind w:firstLine="720"/>
        <w:jc w:val="both"/>
      </w:pPr>
      <w:r>
        <w:t>We</w:t>
      </w:r>
      <w:r w:rsidR="00087461">
        <w:t xml:space="preserve"> found it highly improbable if not absurd</w:t>
      </w:r>
      <w:r w:rsidR="00AF743B">
        <w:t xml:space="preserve"> to suggest as the appellant seems to </w:t>
      </w:r>
      <w:r w:rsidR="00F806B8">
        <w:t>insinuate</w:t>
      </w:r>
      <w:r w:rsidR="00087461">
        <w:t xml:space="preserve"> firstly that the respondent would assume a fictitious persona or identity and call herself M</w:t>
      </w:r>
      <w:r w:rsidR="00627A5E">
        <w:t>r</w:t>
      </w:r>
      <w:r w:rsidR="00087461">
        <w:t xml:space="preserve">s Matondo </w:t>
      </w:r>
      <w:r w:rsidR="006A5C85">
        <w:t>supposedly when</w:t>
      </w:r>
      <w:r w:rsidR="00087461">
        <w:t xml:space="preserve"> she was not.  It is clear even from the instructions that </w:t>
      </w:r>
      <w:r w:rsidR="00F806B8">
        <w:t>the respondent</w:t>
      </w:r>
      <w:r w:rsidR="00087461">
        <w:t xml:space="preserve"> gave to counsel when issuing out the notice of eviction that</w:t>
      </w:r>
      <w:r w:rsidR="006A5C85">
        <w:t xml:space="preserve"> it</w:t>
      </w:r>
      <w:r w:rsidR="00087461">
        <w:t xml:space="preserve"> so entre</w:t>
      </w:r>
      <w:r w:rsidR="006A5C85">
        <w:t>nch</w:t>
      </w:r>
      <w:r w:rsidR="00087461">
        <w:t xml:space="preserve">ed in her psyche and persona </w:t>
      </w:r>
      <w:r w:rsidR="006A5C85">
        <w:t>to</w:t>
      </w:r>
      <w:r w:rsidR="00087461">
        <w:t xml:space="preserve"> </w:t>
      </w:r>
      <w:r w:rsidR="00807CB5">
        <w:t>identi</w:t>
      </w:r>
      <w:r w:rsidR="006A5C85">
        <w:t>f</w:t>
      </w:r>
      <w:r w:rsidR="00807CB5">
        <w:t>y</w:t>
      </w:r>
      <w:r w:rsidR="006A5C85">
        <w:t xml:space="preserve"> herself</w:t>
      </w:r>
      <w:r w:rsidR="00807CB5">
        <w:t xml:space="preserve"> as Mrs Matondo.  This much is e</w:t>
      </w:r>
      <w:r w:rsidR="006A5C85">
        <w:t>vi</w:t>
      </w:r>
      <w:r w:rsidR="00807CB5">
        <w:t>d</w:t>
      </w:r>
      <w:r w:rsidR="006A5C85">
        <w:t>en</w:t>
      </w:r>
      <w:r w:rsidR="00807CB5">
        <w:t>ced by the fact that counsel</w:t>
      </w:r>
      <w:r w:rsidR="00805C1D">
        <w:t xml:space="preserve"> in</w:t>
      </w:r>
      <w:r w:rsidR="00807CB5">
        <w:t xml:space="preserve"> that letter </w:t>
      </w:r>
      <w:r w:rsidR="006A5C85">
        <w:t>authored on</w:t>
      </w:r>
      <w:r w:rsidR="00807CB5">
        <w:t xml:space="preserve"> the instructions of the respondent referred to the latter as Mrs Madondo.  It would be stretching the bound</w:t>
      </w:r>
      <w:r w:rsidR="006A5C85">
        <w:t>s</w:t>
      </w:r>
      <w:r w:rsidR="00807CB5">
        <w:t xml:space="preserve"> of cred</w:t>
      </w:r>
      <w:r w:rsidR="006A5C85">
        <w:t>u</w:t>
      </w:r>
      <w:r w:rsidR="00807CB5">
        <w:t>lity to suggest</w:t>
      </w:r>
      <w:r w:rsidR="006A5C85">
        <w:t xml:space="preserve"> that</w:t>
      </w:r>
      <w:r w:rsidR="00807CB5">
        <w:t xml:space="preserve"> it i</w:t>
      </w:r>
      <w:r w:rsidR="004418E4">
        <w:t>s merely</w:t>
      </w:r>
      <w:r w:rsidR="00807CB5">
        <w:t xml:space="preserve"> coinciden</w:t>
      </w:r>
      <w:r w:rsidR="004418E4">
        <w:t>tal</w:t>
      </w:r>
      <w:r w:rsidR="00F806B8">
        <w:t xml:space="preserve"> firstly</w:t>
      </w:r>
      <w:r w:rsidR="00807CB5">
        <w:t xml:space="preserve"> that appellant accepts that he </w:t>
      </w:r>
      <w:r w:rsidR="00F806B8">
        <w:t>contracted</w:t>
      </w:r>
      <w:r w:rsidR="00807CB5">
        <w:t xml:space="preserve"> with a Mrs Madondo in relation to the lease</w:t>
      </w:r>
      <w:r w:rsidR="006A5C85">
        <w:t xml:space="preserve"> and</w:t>
      </w:r>
      <w:r w:rsidR="00F806B8">
        <w:t xml:space="preserve"> secondly</w:t>
      </w:r>
      <w:r w:rsidR="00807CB5">
        <w:t xml:space="preserve"> that the respondent</w:t>
      </w:r>
      <w:r w:rsidR="00F806B8">
        <w:t xml:space="preserve"> would likewise</w:t>
      </w:r>
      <w:r w:rsidR="00807CB5">
        <w:t xml:space="preserve"> identif</w:t>
      </w:r>
      <w:r w:rsidR="00F806B8">
        <w:t>y</w:t>
      </w:r>
      <w:r w:rsidR="00807CB5">
        <w:t xml:space="preserve"> herself as Mrs Mato</w:t>
      </w:r>
      <w:r w:rsidR="006A5C85">
        <w:t>n</w:t>
      </w:r>
      <w:r w:rsidR="00807CB5">
        <w:t>do to her Legal practitioners and</w:t>
      </w:r>
      <w:r w:rsidR="006A5C85">
        <w:t xml:space="preserve"> thirdly that in</w:t>
      </w:r>
      <w:r w:rsidR="00807CB5">
        <w:t xml:space="preserve"> he</w:t>
      </w:r>
      <w:r w:rsidR="00AF743B">
        <w:t>r</w:t>
      </w:r>
      <w:r w:rsidR="00807CB5">
        <w:t xml:space="preserve"> answering affidavit </w:t>
      </w:r>
      <w:r w:rsidR="00AF743B">
        <w:t>the respondent</w:t>
      </w:r>
      <w:r w:rsidR="00F806B8">
        <w:t xml:space="preserve"> would</w:t>
      </w:r>
      <w:r w:rsidR="00807CB5">
        <w:t xml:space="preserve"> clarif</w:t>
      </w:r>
      <w:r w:rsidR="00F806B8">
        <w:t>y</w:t>
      </w:r>
      <w:r w:rsidR="00807CB5">
        <w:t xml:space="preserve"> that she and Mrs Matondo are</w:t>
      </w:r>
      <w:r w:rsidR="00AF743B">
        <w:t xml:space="preserve"> in fact</w:t>
      </w:r>
      <w:r w:rsidR="00807CB5">
        <w:t xml:space="preserve"> one and the same person the latter being her married surname yet</w:t>
      </w:r>
      <w:r w:rsidR="00F806B8">
        <w:t xml:space="preserve"> by some dint of fate</w:t>
      </w:r>
      <w:r w:rsidR="00807CB5">
        <w:t xml:space="preserve"> the respondent is a different person</w:t>
      </w:r>
    </w:p>
    <w:p w14:paraId="0BBF5ADC" w14:textId="72338D7A" w:rsidR="00F806B8" w:rsidRPr="00F806B8" w:rsidRDefault="004418E4" w:rsidP="00F806B8">
      <w:pPr>
        <w:spacing w:line="360" w:lineRule="auto"/>
        <w:ind w:firstLine="720"/>
        <w:jc w:val="both"/>
      </w:pPr>
      <w:r>
        <w:t>We found that t</w:t>
      </w:r>
      <w:r w:rsidR="00807CB5">
        <w:t xml:space="preserve">he court </w:t>
      </w:r>
      <w:r w:rsidR="00807CB5" w:rsidRPr="00627A5E">
        <w:rPr>
          <w:i/>
        </w:rPr>
        <w:t xml:space="preserve">a </w:t>
      </w:r>
      <w:r w:rsidRPr="00627A5E">
        <w:rPr>
          <w:i/>
        </w:rPr>
        <w:t>quo</w:t>
      </w:r>
      <w:r>
        <w:t xml:space="preserve"> could </w:t>
      </w:r>
      <w:r w:rsidR="00D461EC">
        <w:t>not therefore be faulted</w:t>
      </w:r>
      <w:r w:rsidR="00807CB5">
        <w:t xml:space="preserve"> in dismissing such</w:t>
      </w:r>
      <w:r w:rsidR="00AF743B">
        <w:t xml:space="preserve"> a</w:t>
      </w:r>
      <w:r w:rsidR="00807CB5">
        <w:t xml:space="preserve"> fanciful if not </w:t>
      </w:r>
      <w:r w:rsidR="00627A5E">
        <w:t>facile</w:t>
      </w:r>
      <w:r w:rsidR="00807CB5">
        <w:t xml:space="preserve"> proposition. </w:t>
      </w:r>
      <w:r w:rsidR="00F806B8" w:rsidRPr="00F806B8">
        <w:t xml:space="preserve">It is hardly surprising that the appellant was unable to bring forth (by way of a supporting affidavit) his version of Mrs Matondo with whom he </w:t>
      </w:r>
      <w:r w:rsidR="00627A5E">
        <w:t>purportedly dealt (and continues to deal) with</w:t>
      </w:r>
      <w:r w:rsidR="00F806B8" w:rsidRPr="00F806B8">
        <w:t xml:space="preserve"> who is not the respondent. </w:t>
      </w:r>
    </w:p>
    <w:p w14:paraId="34DEEC76" w14:textId="7377C189" w:rsidR="00DE51E6" w:rsidRDefault="00DE51E6" w:rsidP="009E16F1">
      <w:pPr>
        <w:spacing w:line="360" w:lineRule="auto"/>
        <w:ind w:firstLine="720"/>
        <w:jc w:val="both"/>
      </w:pPr>
      <w:r>
        <w:t xml:space="preserve">The other alleged dispute of fact </w:t>
      </w:r>
      <w:r w:rsidR="004418E4">
        <w:t>wa</w:t>
      </w:r>
      <w:r>
        <w:t>s closely related to the 2</w:t>
      </w:r>
      <w:r w:rsidRPr="00DE51E6">
        <w:rPr>
          <w:vertAlign w:val="superscript"/>
        </w:rPr>
        <w:t>nd</w:t>
      </w:r>
      <w:r>
        <w:t xml:space="preserve"> ground of appeal and relates to</w:t>
      </w:r>
      <w:r w:rsidR="00DD68E9" w:rsidRPr="00DD68E9">
        <w:t xml:space="preserve"> whether the lease agreement was between the respondent and Avim Investments</w:t>
      </w:r>
      <w:r>
        <w:t xml:space="preserve"> (Pvt) Ltd</w:t>
      </w:r>
      <w:r w:rsidR="00DD68E9" w:rsidRPr="00DD68E9">
        <w:t>.</w:t>
      </w:r>
      <w:r>
        <w:t xml:space="preserve"> It was argued in this regard firstly that oral evidence needed to be led to resolve this issue. Secondly it was averred that the evidence favoured the conclusion that the agreement was between Avim (Pvt) Ltd and the respondent and therefore there was a material non-joinder of the former rendering the application fatally defective.</w:t>
      </w:r>
    </w:p>
    <w:p w14:paraId="237837DD" w14:textId="7C0C7BA7" w:rsidR="00D80F0A" w:rsidRDefault="00DE51E6" w:rsidP="009E16F1">
      <w:pPr>
        <w:spacing w:line="360" w:lineRule="auto"/>
        <w:ind w:firstLine="720"/>
        <w:jc w:val="both"/>
      </w:pPr>
      <w:r>
        <w:t xml:space="preserve"> </w:t>
      </w:r>
      <w:r w:rsidR="00DD68E9" w:rsidRPr="00DD68E9">
        <w:t xml:space="preserve"> In this regard, we found that the court </w:t>
      </w:r>
      <w:r w:rsidR="00DD68E9" w:rsidRPr="00C40822">
        <w:rPr>
          <w:i/>
        </w:rPr>
        <w:t>a quo</w:t>
      </w:r>
      <w:r w:rsidR="00DD68E9" w:rsidRPr="00DD68E9">
        <w:t xml:space="preserve"> c</w:t>
      </w:r>
      <w:r w:rsidR="00C40822">
        <w:t xml:space="preserve">ould </w:t>
      </w:r>
      <w:r w:rsidR="00DD68E9" w:rsidRPr="00DD68E9">
        <w:t>not be faulted for finding that the overwhelming probabilities were that the lease agreement was between the respondent and the appellant. We found the court</w:t>
      </w:r>
      <w:r w:rsidR="00DD68E9">
        <w:t xml:space="preserve"> </w:t>
      </w:r>
      <w:r w:rsidR="00DD68E9" w:rsidRPr="006026DC">
        <w:rPr>
          <w:i/>
          <w:iCs/>
        </w:rPr>
        <w:t>a</w:t>
      </w:r>
      <w:r w:rsidR="00627A5E">
        <w:rPr>
          <w:i/>
          <w:iCs/>
        </w:rPr>
        <w:t xml:space="preserve"> </w:t>
      </w:r>
      <w:r w:rsidR="00DD68E9" w:rsidRPr="006026DC">
        <w:rPr>
          <w:i/>
          <w:iCs/>
        </w:rPr>
        <w:t>q</w:t>
      </w:r>
      <w:r w:rsidR="00B179F9" w:rsidRPr="006026DC">
        <w:rPr>
          <w:i/>
          <w:iCs/>
        </w:rPr>
        <w:t>uo</w:t>
      </w:r>
      <w:r w:rsidR="00DD68E9" w:rsidRPr="006026DC">
        <w:rPr>
          <w:i/>
          <w:iCs/>
        </w:rPr>
        <w:t>'s</w:t>
      </w:r>
      <w:r w:rsidR="00DD68E9" w:rsidRPr="00DD68E9">
        <w:t xml:space="preserve"> reasoning sound and unimpeachable.</w:t>
      </w:r>
      <w:r w:rsidR="00C847FD">
        <w:t xml:space="preserve"> </w:t>
      </w:r>
      <w:r w:rsidR="00D80F0A">
        <w:t>There would have been no good reason for respondent to ins</w:t>
      </w:r>
      <w:r w:rsidR="00B2794D">
        <w:t xml:space="preserve">ist </w:t>
      </w:r>
      <w:r w:rsidR="00D80F0A">
        <w:t xml:space="preserve">that her oral lease agreement was exclusively with the appellant and that at no point did she have any dealings with an outfit called Avim Investments </w:t>
      </w:r>
      <w:r>
        <w:t>(</w:t>
      </w:r>
      <w:r w:rsidR="00D80F0A">
        <w:t>Private</w:t>
      </w:r>
      <w:r>
        <w:t>)</w:t>
      </w:r>
      <w:r w:rsidR="00D80F0A">
        <w:t xml:space="preserve"> Limited.</w:t>
      </w:r>
    </w:p>
    <w:p w14:paraId="0B72BAE8" w14:textId="4C82114C" w:rsidR="008B5B49" w:rsidRDefault="003A0FFF" w:rsidP="00D912E6">
      <w:pPr>
        <w:spacing w:line="360" w:lineRule="auto"/>
        <w:ind w:firstLine="720"/>
        <w:jc w:val="both"/>
      </w:pPr>
      <w:r>
        <w:lastRenderedPageBreak/>
        <w:t xml:space="preserve">We </w:t>
      </w:r>
      <w:r w:rsidR="00CA7898">
        <w:t>further</w:t>
      </w:r>
      <w:r>
        <w:t xml:space="preserve"> observ</w:t>
      </w:r>
      <w:r w:rsidR="00CA7898">
        <w:t>ed</w:t>
      </w:r>
      <w:r>
        <w:t xml:space="preserve"> that it was highly improbable that an enterprise such as the one alluded to by the appellant w</w:t>
      </w:r>
      <w:r w:rsidR="00CA7898">
        <w:t>ould</w:t>
      </w:r>
      <w:r>
        <w:t xml:space="preserve"> to enter into oral </w:t>
      </w:r>
      <w:r w:rsidR="008B5B49">
        <w:t>co</w:t>
      </w:r>
      <w:r w:rsidR="00CA7898">
        <w:t>ntra</w:t>
      </w:r>
      <w:r w:rsidR="008B5B49">
        <w:t xml:space="preserve">cts with third parties.  It is </w:t>
      </w:r>
      <w:r w:rsidR="00D912E6">
        <w:t>statutorily required</w:t>
      </w:r>
      <w:r w:rsidR="008B5B49">
        <w:t xml:space="preserve"> to keep a record of its transactions for tax, account</w:t>
      </w:r>
      <w:r w:rsidR="00D912E6">
        <w:t>ing</w:t>
      </w:r>
      <w:r w:rsidR="008B5B49">
        <w:t>, shareholding liability and other purposes</w:t>
      </w:r>
      <w:r w:rsidR="00D912E6">
        <w:t>,</w:t>
      </w:r>
      <w:r w:rsidR="00D912E6" w:rsidRPr="00D912E6">
        <w:t xml:space="preserve"> (see for example s9 of the companies and other business entities Act, Chapter 24:31)</w:t>
      </w:r>
      <w:r w:rsidR="00D912E6">
        <w:t>.</w:t>
      </w:r>
      <w:r w:rsidR="00D912E6" w:rsidRPr="00D912E6">
        <w:t xml:space="preserve"> </w:t>
      </w:r>
      <w:r w:rsidR="008B5B49">
        <w:t xml:space="preserve">  Quite apart from the provision of the said Act, it is common knowledge that registered enterprises operate in a formal and structured way and is unlikely to enter into agreements, of such importance as the one at hand orally.</w:t>
      </w:r>
    </w:p>
    <w:p w14:paraId="4B79105A" w14:textId="297A51D1" w:rsidR="003A0FFF" w:rsidRDefault="00E602B2" w:rsidP="009E16F1">
      <w:pPr>
        <w:spacing w:line="360" w:lineRule="auto"/>
        <w:ind w:firstLine="720"/>
        <w:jc w:val="both"/>
      </w:pPr>
      <w:r>
        <w:t>We further pointed out that t</w:t>
      </w:r>
      <w:r w:rsidR="008B5B49">
        <w:t xml:space="preserve">he handful of receipts </w:t>
      </w:r>
      <w:r>
        <w:t xml:space="preserve">ostensibly </w:t>
      </w:r>
      <w:r w:rsidR="008B5B49">
        <w:t>emanating from Avim</w:t>
      </w:r>
      <w:r>
        <w:t xml:space="preserve"> Investments</w:t>
      </w:r>
      <w:r w:rsidR="008B5B49">
        <w:t xml:space="preserve"> (Pvt) Ltd on which so much reliance </w:t>
      </w:r>
      <w:r w:rsidR="007A7BF7">
        <w:t>was</w:t>
      </w:r>
      <w:r w:rsidR="008B5B49">
        <w:t xml:space="preserve"> place</w:t>
      </w:r>
      <w:r w:rsidR="00033B84">
        <w:t>d by the appellant c</w:t>
      </w:r>
      <w:r>
        <w:t xml:space="preserve">ould </w:t>
      </w:r>
      <w:r w:rsidR="00033B84">
        <w:t xml:space="preserve">not </w:t>
      </w:r>
      <w:r w:rsidR="00033B84" w:rsidRPr="00033B84">
        <w:rPr>
          <w:i/>
        </w:rPr>
        <w:t>ips</w:t>
      </w:r>
      <w:r w:rsidR="008B5B49" w:rsidRPr="00033B84">
        <w:rPr>
          <w:i/>
        </w:rPr>
        <w:t>o facto</w:t>
      </w:r>
      <w:r w:rsidR="008B5B49">
        <w:t xml:space="preserve"> amount to proof of the agreement having been between respondent and Avim.  It is not uncommon </w:t>
      </w:r>
      <w:r w:rsidR="007A7BF7">
        <w:t>for a company paying rentals for its directors or employees</w:t>
      </w:r>
      <w:r w:rsidR="00D912E6">
        <w:t xml:space="preserve"> hence invoices to that effect.</w:t>
      </w:r>
      <w:r w:rsidR="007A7BF7">
        <w:t xml:space="preserve">  As a matter of fact, those receipts </w:t>
      </w:r>
      <w:r w:rsidR="002E16B3">
        <w:t xml:space="preserve">negate the notion that Avim would have </w:t>
      </w:r>
      <w:r w:rsidR="009154AA">
        <w:t xml:space="preserve">entered into an oral agreement with respondent.  To the contrary they confirm that a company is always keen </w:t>
      </w:r>
      <w:r w:rsidR="00D912E6">
        <w:t>if not</w:t>
      </w:r>
      <w:r w:rsidR="009154AA">
        <w:t xml:space="preserve"> </w:t>
      </w:r>
      <w:proofErr w:type="spellStart"/>
      <w:r w:rsidR="009154AA">
        <w:t>not</w:t>
      </w:r>
      <w:proofErr w:type="spellEnd"/>
      <w:r w:rsidR="009154AA">
        <w:t xml:space="preserve"> obliged to keep a record of its contracts and agreements it enters with third parties.  As the payment </w:t>
      </w:r>
      <w:r w:rsidR="00D7271D">
        <w:t>of money</w:t>
      </w:r>
      <w:r w:rsidR="00714F27">
        <w:t xml:space="preserve"> was </w:t>
      </w:r>
      <w:r w:rsidR="00033B84">
        <w:t>e</w:t>
      </w:r>
      <w:r w:rsidR="00D912E6">
        <w:t>viden</w:t>
      </w:r>
      <w:r w:rsidR="00033B84">
        <w:t xml:space="preserve">ced </w:t>
      </w:r>
      <w:r w:rsidR="00714F27">
        <w:t>by receipt</w:t>
      </w:r>
      <w:r w:rsidR="00D912E6">
        <w:t>s</w:t>
      </w:r>
      <w:r w:rsidR="00714F27">
        <w:t xml:space="preserve">, </w:t>
      </w:r>
      <w:r w:rsidR="00D912E6">
        <w:t>so</w:t>
      </w:r>
      <w:r w:rsidR="00714F27">
        <w:t xml:space="preserve"> too</w:t>
      </w:r>
      <w:r w:rsidR="00D912E6">
        <w:t xml:space="preserve"> was</w:t>
      </w:r>
      <w:r w:rsidR="00714F27">
        <w:t xml:space="preserve"> the lease agreement expected to be e</w:t>
      </w:r>
      <w:r w:rsidR="00D912E6">
        <w:t>viden</w:t>
      </w:r>
      <w:r w:rsidR="00714F27">
        <w:t xml:space="preserve">ced by a memorandum of that effect.  The latter would stipulate </w:t>
      </w:r>
      <w:r w:rsidR="00714F27" w:rsidRPr="00D912E6">
        <w:rPr>
          <w:i/>
        </w:rPr>
        <w:t>inter alia</w:t>
      </w:r>
      <w:r w:rsidR="00D912E6">
        <w:t xml:space="preserve">, </w:t>
      </w:r>
      <w:r w:rsidR="00714F27" w:rsidRPr="00D912E6">
        <w:t>the</w:t>
      </w:r>
      <w:r w:rsidR="00714F27" w:rsidRPr="00E602B2">
        <w:t xml:space="preserve"> </w:t>
      </w:r>
      <w:r w:rsidR="00714F27" w:rsidRPr="00714F27">
        <w:t>rent payable, duration</w:t>
      </w:r>
      <w:r w:rsidR="00714F27" w:rsidRPr="00E602B2">
        <w:t xml:space="preserve"> </w:t>
      </w:r>
      <w:r w:rsidR="00714F27" w:rsidRPr="00714F27">
        <w:t>of the lease, d</w:t>
      </w:r>
      <w:r w:rsidR="00D912E6">
        <w:t>i</w:t>
      </w:r>
      <w:r w:rsidR="00714F27" w:rsidRPr="00714F27">
        <w:t>sp</w:t>
      </w:r>
      <w:r w:rsidR="00D912E6">
        <w:t>u</w:t>
      </w:r>
      <w:r w:rsidR="00714F27" w:rsidRPr="00714F27">
        <w:t>te resolution mechanisms</w:t>
      </w:r>
      <w:r w:rsidR="00D912E6">
        <w:t xml:space="preserve"> agreed upon.</w:t>
      </w:r>
    </w:p>
    <w:p w14:paraId="244B8E4F" w14:textId="21F8E55C" w:rsidR="00F564E0" w:rsidRDefault="00714F27" w:rsidP="00D912E6">
      <w:pPr>
        <w:spacing w:line="360" w:lineRule="auto"/>
        <w:ind w:firstLine="720"/>
        <w:jc w:val="both"/>
      </w:pPr>
      <w:r>
        <w:t xml:space="preserve"> </w:t>
      </w:r>
      <w:r w:rsidR="00D912E6">
        <w:t>I</w:t>
      </w:r>
      <w:r w:rsidR="00033B84">
        <w:t xml:space="preserve">n our </w:t>
      </w:r>
      <w:proofErr w:type="gramStart"/>
      <w:r w:rsidR="00033B84" w:rsidRPr="005B7495">
        <w:rPr>
          <w:i/>
        </w:rPr>
        <w:t>ex tempo</w:t>
      </w:r>
      <w:r w:rsidRPr="005B7495">
        <w:rPr>
          <w:i/>
        </w:rPr>
        <w:t>re</w:t>
      </w:r>
      <w:proofErr w:type="gramEnd"/>
      <w:r>
        <w:t xml:space="preserve"> judgement, we gave the analogy of a company paying school fees (and issuing receipt or vouchers</w:t>
      </w:r>
      <w:r w:rsidR="00D912E6">
        <w:t xml:space="preserve"> to that effect</w:t>
      </w:r>
      <w:r>
        <w:t>) on behalf of one or other of its employee, would not necessarily imply that the contract of enrolment of the child in question is</w:t>
      </w:r>
      <w:r w:rsidR="00D912E6">
        <w:t xml:space="preserve"> one</w:t>
      </w:r>
      <w:r>
        <w:t xml:space="preserve"> between the company and the school, it remains one between the parent and the school.  We therefore found that the e</w:t>
      </w:r>
      <w:r w:rsidR="00D912E6">
        <w:t>vi</w:t>
      </w:r>
      <w:r>
        <w:t>d</w:t>
      </w:r>
      <w:r w:rsidR="00D912E6">
        <w:t>en</w:t>
      </w:r>
      <w:r>
        <w:t xml:space="preserve">ce and the probabilities favoured the court </w:t>
      </w:r>
      <w:r w:rsidRPr="00D912E6">
        <w:rPr>
          <w:i/>
        </w:rPr>
        <w:t>a quo’</w:t>
      </w:r>
      <w:r w:rsidR="004F4BB6" w:rsidRPr="00D912E6">
        <w:rPr>
          <w:i/>
        </w:rPr>
        <w:t>s</w:t>
      </w:r>
      <w:r w:rsidR="004F4BB6">
        <w:t xml:space="preserve"> findings that Avim (Pvt) Ltd was not a party to the lease agree</w:t>
      </w:r>
      <w:r w:rsidR="00F564E0">
        <w:t>ment.</w:t>
      </w:r>
    </w:p>
    <w:p w14:paraId="59B62E5A" w14:textId="7F57BC63" w:rsidR="00693C04" w:rsidRPr="00693C04" w:rsidRDefault="00F564E0" w:rsidP="00693C04">
      <w:pPr>
        <w:spacing w:line="360" w:lineRule="auto"/>
        <w:ind w:firstLine="720"/>
        <w:jc w:val="both"/>
      </w:pPr>
      <w:r>
        <w:t>Having thus found that the agreement was between the appellant as lessee on one hand and Respondent as lessor on the other, the remaining ground of appeal all but fell away</w:t>
      </w:r>
      <w:r w:rsidR="00D912E6">
        <w:t xml:space="preserve"> as t</w:t>
      </w:r>
      <w:r>
        <w:t>he joinder of Avim</w:t>
      </w:r>
      <w:r w:rsidR="00D912E6">
        <w:t xml:space="preserve"> Investments (Pvt) Ltd</w:t>
      </w:r>
      <w:r>
        <w:t xml:space="preserve"> would only</w:t>
      </w:r>
      <w:r w:rsidR="00E602B2">
        <w:t xml:space="preserve"> have</w:t>
      </w:r>
      <w:r>
        <w:t xml:space="preserve"> been </w:t>
      </w:r>
      <w:proofErr w:type="gramStart"/>
      <w:r>
        <w:t>necessary</w:t>
      </w:r>
      <w:proofErr w:type="gramEnd"/>
      <w:r>
        <w:t xml:space="preserve"> had it</w:t>
      </w:r>
      <w:r w:rsidR="00E602B2">
        <w:t xml:space="preserve"> </w:t>
      </w:r>
      <w:r>
        <w:t xml:space="preserve">been a party of the </w:t>
      </w:r>
      <w:r w:rsidR="00231E97">
        <w:t>lease</w:t>
      </w:r>
      <w:r w:rsidR="00E602B2">
        <w:t xml:space="preserve"> agreement</w:t>
      </w:r>
      <w:r w:rsidR="00231E97">
        <w:t>.</w:t>
      </w:r>
      <w:r w:rsidR="00693C04">
        <w:t xml:space="preserve"> In any event i</w:t>
      </w:r>
      <w:r w:rsidR="00693C04" w:rsidRPr="00693C04">
        <w:t>t would have been an untenable contradiction for the respondent in one breath to deny ever having entered into an agreement with AVIM (Pvt) Ltd and in the next breath</w:t>
      </w:r>
      <w:r w:rsidR="00E602B2">
        <w:t xml:space="preserve"> to have</w:t>
      </w:r>
      <w:r w:rsidR="00693C04" w:rsidRPr="00693C04">
        <w:t xml:space="preserve"> join</w:t>
      </w:r>
      <w:r w:rsidR="00E602B2">
        <w:t>ed</w:t>
      </w:r>
      <w:r w:rsidR="00693C04" w:rsidRPr="00693C04">
        <w:t xml:space="preserve"> the same entity as a party to the proceedings.</w:t>
      </w:r>
    </w:p>
    <w:p w14:paraId="4D1163E1" w14:textId="2F550734" w:rsidR="00231E97" w:rsidRDefault="00231E97" w:rsidP="009E16F1">
      <w:pPr>
        <w:spacing w:line="360" w:lineRule="auto"/>
        <w:ind w:firstLine="720"/>
        <w:jc w:val="both"/>
      </w:pPr>
      <w:r>
        <w:lastRenderedPageBreak/>
        <w:t>Further</w:t>
      </w:r>
      <w:r w:rsidR="00693C04">
        <w:t>,</w:t>
      </w:r>
      <w:r>
        <w:t xml:space="preserve"> we found is strange that, the appellant who identified himself as a director with Avim Investments (Pvt) Ltd and whose occupation of the property is purportedly courtesy of the lease of agreement in question between the said company and Respondent, fell short of divulging the identity of the person, who had transacted on the company’s behalf.</w:t>
      </w:r>
      <w:r w:rsidR="00693C04">
        <w:t xml:space="preserve"> </w:t>
      </w:r>
    </w:p>
    <w:p w14:paraId="53F7DE92" w14:textId="03F39682" w:rsidR="00231E97" w:rsidRDefault="00231E97" w:rsidP="00513D17">
      <w:pPr>
        <w:spacing w:line="360" w:lineRule="auto"/>
        <w:ind w:firstLine="720"/>
        <w:jc w:val="both"/>
      </w:pPr>
      <w:r>
        <w:t xml:space="preserve">It was clear to the court </w:t>
      </w:r>
      <w:r w:rsidRPr="00D912E6">
        <w:rPr>
          <w:i/>
        </w:rPr>
        <w:t>a quo</w:t>
      </w:r>
      <w:r>
        <w:t xml:space="preserve"> as it was to us that the appellant sought to hide behind </w:t>
      </w:r>
      <w:r w:rsidR="00033B84">
        <w:t>a</w:t>
      </w:r>
      <w:r w:rsidR="00D912E6">
        <w:t xml:space="preserve"> f</w:t>
      </w:r>
      <w:r>
        <w:t>inger so to speak</w:t>
      </w:r>
      <w:r w:rsidR="00D912E6">
        <w:t>,</w:t>
      </w:r>
      <w:r>
        <w:t xml:space="preserve"> to unconsci</w:t>
      </w:r>
      <w:r w:rsidR="00D912E6">
        <w:t>onab</w:t>
      </w:r>
      <w:r>
        <w:t xml:space="preserve">ly </w:t>
      </w:r>
      <w:r w:rsidR="00D912E6">
        <w:t xml:space="preserve">harass and </w:t>
      </w:r>
      <w:r>
        <w:t>frustrate the respondent.  So far more than three years have elapsed since notice to vacate was issued to</w:t>
      </w:r>
      <w:r w:rsidR="00513D17">
        <w:t xml:space="preserve"> appellant</w:t>
      </w:r>
      <w:r>
        <w:t xml:space="preserve"> yet he</w:t>
      </w:r>
      <w:r w:rsidR="00513D17">
        <w:t xml:space="preserve"> tenaciously</w:t>
      </w:r>
      <w:r>
        <w:t xml:space="preserve"> clings onto the property as if he has some right claim as title to </w:t>
      </w:r>
      <w:r w:rsidR="00513D17">
        <w:t>it</w:t>
      </w:r>
      <w:r>
        <w:t>.</w:t>
      </w:r>
    </w:p>
    <w:p w14:paraId="51AD1C6F" w14:textId="49A8401C" w:rsidR="001D70BF" w:rsidRPr="001D70BF" w:rsidRDefault="00231E97" w:rsidP="001D70BF">
      <w:pPr>
        <w:spacing w:line="360" w:lineRule="auto"/>
        <w:ind w:firstLine="720"/>
        <w:jc w:val="both"/>
        <w:rPr>
          <w:lang w:val="en-ZW"/>
        </w:rPr>
      </w:pPr>
      <w:r>
        <w:t>Tellingly, the appellant</w:t>
      </w:r>
      <w:r w:rsidR="00513D17">
        <w:t>’s</w:t>
      </w:r>
      <w:r>
        <w:t xml:space="preserve"> position </w:t>
      </w:r>
      <w:r w:rsidRPr="00513D17">
        <w:rPr>
          <w:i/>
        </w:rPr>
        <w:t>vis-a-vis</w:t>
      </w:r>
      <w:r>
        <w:t xml:space="preserve"> </w:t>
      </w:r>
      <w:r w:rsidR="001D70BF">
        <w:t xml:space="preserve">the </w:t>
      </w:r>
      <w:r w:rsidR="00513D17">
        <w:t xml:space="preserve">merits on </w:t>
      </w:r>
      <w:r>
        <w:t xml:space="preserve">the claim for </w:t>
      </w:r>
      <w:r w:rsidR="00547C80">
        <w:t xml:space="preserve">eviction is </w:t>
      </w:r>
      <w:r w:rsidR="001D70BF">
        <w:t>conspicuous by its absence.</w:t>
      </w:r>
      <w:r w:rsidR="00547C80">
        <w:t xml:space="preserve"> </w:t>
      </w:r>
      <w:r w:rsidR="00C40822">
        <w:t xml:space="preserve">For the sake of completeness, we briefly refer to the law on eviction which is based on the </w:t>
      </w:r>
      <w:r w:rsidR="00C40822" w:rsidRPr="00C40822">
        <w:rPr>
          <w:i/>
        </w:rPr>
        <w:t xml:space="preserve">rei </w:t>
      </w:r>
      <w:proofErr w:type="spellStart"/>
      <w:r w:rsidR="00C40822" w:rsidRPr="00C40822">
        <w:rPr>
          <w:i/>
        </w:rPr>
        <w:t>vindicatio</w:t>
      </w:r>
      <w:proofErr w:type="spellEnd"/>
      <w:r w:rsidR="00C40822">
        <w:t>.</w:t>
      </w:r>
      <w:r w:rsidR="00547C80">
        <w:t xml:space="preserve"> </w:t>
      </w:r>
      <w:r w:rsidR="001D70BF" w:rsidRPr="001D70BF">
        <w:rPr>
          <w:lang w:val="en-ZW"/>
        </w:rPr>
        <w:t xml:space="preserve">In </w:t>
      </w:r>
      <w:r w:rsidR="001D70BF" w:rsidRPr="001D70BF">
        <w:rPr>
          <w:i/>
          <w:lang w:val="en-ZW"/>
        </w:rPr>
        <w:t>Savanhu</w:t>
      </w:r>
      <w:r w:rsidR="001D70BF" w:rsidRPr="001D70BF">
        <w:rPr>
          <w:lang w:val="en-ZW"/>
        </w:rPr>
        <w:t xml:space="preserve"> v </w:t>
      </w:r>
      <w:r w:rsidR="001D70BF" w:rsidRPr="001D70BF">
        <w:rPr>
          <w:i/>
          <w:lang w:val="en-ZW"/>
        </w:rPr>
        <w:t>Hwange Colliery Company</w:t>
      </w:r>
      <w:r w:rsidR="001D70BF" w:rsidRPr="001D70BF">
        <w:rPr>
          <w:lang w:val="en-ZW"/>
        </w:rPr>
        <w:t xml:space="preserve"> SC 8/15, the Supreme Court held as follows;</w:t>
      </w:r>
    </w:p>
    <w:p w14:paraId="7928B486" w14:textId="795A9592" w:rsidR="001D70BF" w:rsidRPr="001D70BF" w:rsidRDefault="001D70BF" w:rsidP="005B7495">
      <w:pPr>
        <w:spacing w:line="360" w:lineRule="auto"/>
        <w:ind w:left="720" w:firstLine="720"/>
        <w:jc w:val="both"/>
        <w:rPr>
          <w:lang w:val="en-ZW"/>
        </w:rPr>
      </w:pPr>
      <w:r w:rsidRPr="001D70BF">
        <w:rPr>
          <w:lang w:val="en-ZW"/>
        </w:rPr>
        <w:t>“</w:t>
      </w:r>
      <w:proofErr w:type="gramStart"/>
      <w:r w:rsidRPr="001D70BF">
        <w:rPr>
          <w:i/>
          <w:lang w:val="en-ZW"/>
        </w:rPr>
        <w:t>the</w:t>
      </w:r>
      <w:proofErr w:type="gramEnd"/>
      <w:r w:rsidRPr="001D70BF">
        <w:rPr>
          <w:i/>
          <w:lang w:val="en-ZW"/>
        </w:rPr>
        <w:t xml:space="preserve"> </w:t>
      </w:r>
      <w:proofErr w:type="spellStart"/>
      <w:r w:rsidRPr="001D70BF">
        <w:rPr>
          <w:i/>
          <w:lang w:val="en-ZW"/>
        </w:rPr>
        <w:t>actio</w:t>
      </w:r>
      <w:proofErr w:type="spellEnd"/>
      <w:r w:rsidRPr="001D70BF">
        <w:rPr>
          <w:i/>
          <w:lang w:val="en-ZW"/>
        </w:rPr>
        <w:t xml:space="preserve"> rei </w:t>
      </w:r>
      <w:proofErr w:type="spellStart"/>
      <w:r w:rsidRPr="001D70BF">
        <w:rPr>
          <w:i/>
          <w:lang w:val="en-ZW"/>
        </w:rPr>
        <w:t>vindicatio</w:t>
      </w:r>
      <w:proofErr w:type="spellEnd"/>
      <w:r w:rsidRPr="001D70BF">
        <w:rPr>
          <w:i/>
          <w:lang w:val="en-ZW"/>
        </w:rPr>
        <w:t xml:space="preserve"> is an action by an owner of property to recover it from any person who retains possession of it without his consent. It derives from the principle that an owner cannot be deprived of his property without his consent. As it was put in Chetty v Naidoo 1974 (3) SA 13(A): It is inherent in the nature of ownership that possession of the res should normally be with the owner, and it follows that no other person may withhold it from the owner </w:t>
      </w:r>
      <w:r w:rsidRPr="001D70BF">
        <w:rPr>
          <w:b/>
          <w:i/>
          <w:u w:val="single"/>
          <w:lang w:val="en-ZW"/>
        </w:rPr>
        <w:t>unless he is vested with some right against the owner (</w:t>
      </w:r>
      <w:proofErr w:type="gramStart"/>
      <w:r w:rsidRPr="001D70BF">
        <w:rPr>
          <w:b/>
          <w:i/>
          <w:u w:val="single"/>
          <w:lang w:val="en-ZW"/>
        </w:rPr>
        <w:t>e.g.</w:t>
      </w:r>
      <w:proofErr w:type="gramEnd"/>
      <w:r w:rsidRPr="001D70BF">
        <w:rPr>
          <w:b/>
          <w:i/>
          <w:u w:val="single"/>
          <w:lang w:val="en-ZW"/>
        </w:rPr>
        <w:t xml:space="preserve"> a right of</w:t>
      </w:r>
      <w:r w:rsidRPr="001D70BF">
        <w:rPr>
          <w:i/>
          <w:lang w:val="en-ZW"/>
        </w:rPr>
        <w:t xml:space="preserve"> </w:t>
      </w:r>
      <w:r w:rsidRPr="001D70BF">
        <w:rPr>
          <w:b/>
          <w:i/>
          <w:u w:val="single"/>
          <w:lang w:val="en-ZW"/>
        </w:rPr>
        <w:t>retention or a contractual right</w:t>
      </w:r>
      <w:r w:rsidRPr="001D70BF">
        <w:rPr>
          <w:lang w:val="en-ZW"/>
        </w:rPr>
        <w:t>”. (Emphasis my own).</w:t>
      </w:r>
    </w:p>
    <w:p w14:paraId="29A26F98" w14:textId="77777777" w:rsidR="001D70BF" w:rsidRPr="001D70BF" w:rsidRDefault="001D70BF" w:rsidP="005B7495">
      <w:pPr>
        <w:spacing w:line="360" w:lineRule="auto"/>
        <w:ind w:left="720" w:firstLine="720"/>
        <w:jc w:val="both"/>
        <w:rPr>
          <w:i/>
          <w:lang w:val="en-ZW"/>
        </w:rPr>
      </w:pPr>
    </w:p>
    <w:p w14:paraId="579FD7E2" w14:textId="77777777" w:rsidR="001D70BF" w:rsidRPr="001D70BF" w:rsidRDefault="001D70BF" w:rsidP="005B7495">
      <w:pPr>
        <w:spacing w:line="360" w:lineRule="auto"/>
        <w:ind w:left="720" w:firstLine="720"/>
        <w:jc w:val="both"/>
        <w:rPr>
          <w:lang w:val="en-ZW"/>
        </w:rPr>
      </w:pPr>
      <w:r w:rsidRPr="001D70BF">
        <w:rPr>
          <w:lang w:val="en-ZW"/>
        </w:rPr>
        <w:t xml:space="preserve">In </w:t>
      </w:r>
      <w:r w:rsidRPr="001D70BF">
        <w:rPr>
          <w:i/>
          <w:lang w:val="en-ZW"/>
        </w:rPr>
        <w:t>Susan January</w:t>
      </w:r>
      <w:r w:rsidRPr="001D70BF">
        <w:rPr>
          <w:lang w:val="en-ZW"/>
        </w:rPr>
        <w:t xml:space="preserve"> v </w:t>
      </w:r>
      <w:r w:rsidRPr="001D70BF">
        <w:rPr>
          <w:i/>
          <w:lang w:val="en-ZW"/>
        </w:rPr>
        <w:t xml:space="preserve">Norman </w:t>
      </w:r>
      <w:proofErr w:type="spellStart"/>
      <w:r w:rsidRPr="001D70BF">
        <w:rPr>
          <w:i/>
          <w:lang w:val="en-ZW"/>
        </w:rPr>
        <w:t>Maferefu</w:t>
      </w:r>
      <w:proofErr w:type="spellEnd"/>
      <w:r w:rsidRPr="001D70BF">
        <w:rPr>
          <w:lang w:val="en-ZW"/>
        </w:rPr>
        <w:t xml:space="preserve"> SC 14/20 UCHENA JA listed the main defences to a claim under the </w:t>
      </w:r>
      <w:proofErr w:type="spellStart"/>
      <w:r w:rsidRPr="001D70BF">
        <w:rPr>
          <w:i/>
          <w:lang w:val="en-ZW"/>
        </w:rPr>
        <w:t>actio</w:t>
      </w:r>
      <w:proofErr w:type="spellEnd"/>
      <w:r w:rsidRPr="001D70BF">
        <w:rPr>
          <w:i/>
          <w:lang w:val="en-ZW"/>
        </w:rPr>
        <w:t xml:space="preserve"> </w:t>
      </w:r>
      <w:proofErr w:type="spellStart"/>
      <w:r w:rsidRPr="001D70BF">
        <w:rPr>
          <w:i/>
          <w:lang w:val="en-ZW"/>
        </w:rPr>
        <w:t>vindicatio</w:t>
      </w:r>
      <w:proofErr w:type="spellEnd"/>
      <w:r w:rsidRPr="001D70BF">
        <w:rPr>
          <w:lang w:val="en-ZW"/>
        </w:rPr>
        <w:t xml:space="preserve">. He said the following; </w:t>
      </w:r>
    </w:p>
    <w:p w14:paraId="2A29E5C0" w14:textId="77777777" w:rsidR="001D70BF" w:rsidRPr="001D70BF" w:rsidRDefault="001D70BF" w:rsidP="005B7495">
      <w:pPr>
        <w:spacing w:line="360" w:lineRule="auto"/>
        <w:ind w:left="720" w:firstLine="720"/>
        <w:jc w:val="both"/>
        <w:rPr>
          <w:i/>
          <w:lang w:val="en-ZW"/>
        </w:rPr>
      </w:pPr>
      <w:r w:rsidRPr="001D70BF">
        <w:rPr>
          <w:lang w:val="en-ZW"/>
        </w:rPr>
        <w:t>“</w:t>
      </w:r>
      <w:r w:rsidRPr="001D70BF">
        <w:rPr>
          <w:i/>
          <w:lang w:val="en-ZW"/>
        </w:rPr>
        <w:t xml:space="preserve">There are basically four main defences to a claim of rei </w:t>
      </w:r>
      <w:proofErr w:type="spellStart"/>
      <w:r w:rsidRPr="001D70BF">
        <w:rPr>
          <w:i/>
          <w:lang w:val="en-ZW"/>
        </w:rPr>
        <w:t>vindicatio</w:t>
      </w:r>
      <w:proofErr w:type="spellEnd"/>
      <w:r w:rsidRPr="001D70BF">
        <w:rPr>
          <w:i/>
          <w:lang w:val="en-ZW"/>
        </w:rPr>
        <w:t xml:space="preserve"> which are:</w:t>
      </w:r>
    </w:p>
    <w:p w14:paraId="245FB8C4" w14:textId="77777777" w:rsidR="001D70BF" w:rsidRPr="001D70BF" w:rsidRDefault="001D70BF" w:rsidP="005B7495">
      <w:pPr>
        <w:numPr>
          <w:ilvl w:val="0"/>
          <w:numId w:val="6"/>
        </w:numPr>
        <w:spacing w:line="360" w:lineRule="auto"/>
        <w:ind w:left="2160"/>
        <w:jc w:val="both"/>
        <w:rPr>
          <w:i/>
          <w:lang w:val="en-ZW"/>
        </w:rPr>
      </w:pPr>
      <w:r w:rsidRPr="001D70BF">
        <w:rPr>
          <w:i/>
          <w:lang w:val="en-ZW"/>
        </w:rPr>
        <w:t>that the applicant is not the owner of the property in question</w:t>
      </w:r>
    </w:p>
    <w:p w14:paraId="073FEBA8" w14:textId="77777777" w:rsidR="001D70BF" w:rsidRPr="001D70BF" w:rsidRDefault="001D70BF" w:rsidP="005B7495">
      <w:pPr>
        <w:numPr>
          <w:ilvl w:val="0"/>
          <w:numId w:val="6"/>
        </w:numPr>
        <w:spacing w:line="360" w:lineRule="auto"/>
        <w:ind w:left="2160"/>
        <w:jc w:val="both"/>
        <w:rPr>
          <w:i/>
          <w:lang w:val="en-ZW"/>
        </w:rPr>
      </w:pPr>
      <w:r w:rsidRPr="001D70BF">
        <w:rPr>
          <w:i/>
          <w:lang w:val="en-ZW"/>
        </w:rPr>
        <w:t>that the property in question no longer exists and can no longer be identified</w:t>
      </w:r>
    </w:p>
    <w:p w14:paraId="3A404534" w14:textId="77777777" w:rsidR="001D70BF" w:rsidRPr="001D70BF" w:rsidRDefault="001D70BF" w:rsidP="005B7495">
      <w:pPr>
        <w:numPr>
          <w:ilvl w:val="0"/>
          <w:numId w:val="6"/>
        </w:numPr>
        <w:spacing w:line="360" w:lineRule="auto"/>
        <w:ind w:left="2160"/>
        <w:jc w:val="both"/>
        <w:rPr>
          <w:i/>
          <w:lang w:val="en-ZW"/>
        </w:rPr>
      </w:pPr>
      <w:r w:rsidRPr="001D70BF">
        <w:rPr>
          <w:i/>
          <w:lang w:val="en-ZW"/>
        </w:rPr>
        <w:t>that the respondent’s possession of such property is lawful</w:t>
      </w:r>
    </w:p>
    <w:p w14:paraId="4EABA612" w14:textId="3901C093" w:rsidR="001D70BF" w:rsidRDefault="001D70BF" w:rsidP="005B7495">
      <w:pPr>
        <w:numPr>
          <w:ilvl w:val="0"/>
          <w:numId w:val="6"/>
        </w:numPr>
        <w:spacing w:line="360" w:lineRule="auto"/>
        <w:ind w:left="2160"/>
        <w:jc w:val="both"/>
        <w:rPr>
          <w:i/>
          <w:lang w:val="en-ZW"/>
        </w:rPr>
      </w:pPr>
      <w:r w:rsidRPr="001D70BF">
        <w:rPr>
          <w:i/>
          <w:lang w:val="en-ZW"/>
        </w:rPr>
        <w:t xml:space="preserve">that the respondent is no longer in physical control of the property – see the cases of Chetty v Naidoo (supra) and Residents of Joe </w:t>
      </w:r>
      <w:proofErr w:type="spellStart"/>
      <w:r w:rsidRPr="001D70BF">
        <w:rPr>
          <w:i/>
          <w:lang w:val="en-ZW"/>
        </w:rPr>
        <w:t>Slovo</w:t>
      </w:r>
      <w:proofErr w:type="spellEnd"/>
      <w:r w:rsidRPr="001D70BF">
        <w:rPr>
          <w:i/>
          <w:lang w:val="en-ZW"/>
        </w:rPr>
        <w:t xml:space="preserve"> Community v </w:t>
      </w:r>
      <w:proofErr w:type="spellStart"/>
      <w:r w:rsidRPr="001D70BF">
        <w:rPr>
          <w:i/>
          <w:lang w:val="en-ZW"/>
        </w:rPr>
        <w:t>Thabelisha</w:t>
      </w:r>
      <w:proofErr w:type="spellEnd"/>
      <w:r w:rsidRPr="001D70BF">
        <w:rPr>
          <w:i/>
          <w:lang w:val="en-ZW"/>
        </w:rPr>
        <w:t xml:space="preserve"> Homes 2010 (3) SA 454 (CC)”.</w:t>
      </w:r>
    </w:p>
    <w:p w14:paraId="1345951B" w14:textId="2156407C" w:rsidR="005B7495" w:rsidRPr="005B7495" w:rsidRDefault="005B7495" w:rsidP="005B7495">
      <w:pPr>
        <w:spacing w:line="360" w:lineRule="auto"/>
        <w:ind w:left="720"/>
        <w:jc w:val="both"/>
        <w:rPr>
          <w:lang w:val="en-ZW"/>
        </w:rPr>
      </w:pPr>
      <w:r w:rsidRPr="005B7495">
        <w:rPr>
          <w:lang w:val="en-ZW"/>
        </w:rPr>
        <w:lastRenderedPageBreak/>
        <w:t>Therefore,</w:t>
      </w:r>
      <w:r>
        <w:rPr>
          <w:lang w:val="en-ZW"/>
        </w:rPr>
        <w:t xml:space="preserve"> </w:t>
      </w:r>
      <w:r w:rsidRPr="005B7495">
        <w:t xml:space="preserve">the requirements of the common law action of </w:t>
      </w:r>
      <w:r w:rsidRPr="005B7495">
        <w:rPr>
          <w:i/>
        </w:rPr>
        <w:t xml:space="preserve">rei </w:t>
      </w:r>
      <w:proofErr w:type="spellStart"/>
      <w:r w:rsidRPr="005B7495">
        <w:rPr>
          <w:i/>
        </w:rPr>
        <w:t>vindicatio</w:t>
      </w:r>
      <w:proofErr w:type="spellEnd"/>
      <w:r w:rsidRPr="005B7495">
        <w:t xml:space="preserve"> are two-fold, that is, the plaintiff must prove ownership of the property and that the defendant was in possession of the thing when the action was instituted</w:t>
      </w:r>
      <w:r>
        <w:t>.</w:t>
      </w:r>
    </w:p>
    <w:p w14:paraId="6722660C" w14:textId="007CC61A" w:rsidR="00231E97" w:rsidRPr="001D70BF" w:rsidRDefault="001D70BF" w:rsidP="001D70BF">
      <w:pPr>
        <w:spacing w:line="360" w:lineRule="auto"/>
        <w:ind w:firstLine="720"/>
        <w:jc w:val="both"/>
        <w:rPr>
          <w:lang w:val="en-ZW"/>
        </w:rPr>
      </w:pPr>
      <w:r w:rsidRPr="001D70BF">
        <w:rPr>
          <w:lang w:val="en-ZW"/>
        </w:rPr>
        <w:t>The</w:t>
      </w:r>
      <w:r>
        <w:rPr>
          <w:lang w:val="en-ZW"/>
        </w:rPr>
        <w:t xml:space="preserve"> appellant in </w:t>
      </w:r>
      <w:proofErr w:type="spellStart"/>
      <w:r w:rsidRPr="001D70BF">
        <w:rPr>
          <w:i/>
          <w:lang w:val="en-ZW"/>
        </w:rPr>
        <w:t>casu</w:t>
      </w:r>
      <w:proofErr w:type="spellEnd"/>
      <w:r>
        <w:rPr>
          <w:lang w:val="en-ZW"/>
        </w:rPr>
        <w:t xml:space="preserve"> neither disputed in any meaningful way the averment by the respondent that she was the owner of the property, albeit in a representative capacity as executrix of the estate of the late Idah Thandiwe </w:t>
      </w:r>
      <w:proofErr w:type="spellStart"/>
      <w:r>
        <w:rPr>
          <w:lang w:val="en-ZW"/>
        </w:rPr>
        <w:t>Mangwaira</w:t>
      </w:r>
      <w:proofErr w:type="spellEnd"/>
      <w:r>
        <w:rPr>
          <w:lang w:val="en-ZW"/>
        </w:rPr>
        <w:t xml:space="preserve">, nor did he </w:t>
      </w:r>
      <w:r w:rsidR="005B7495">
        <w:rPr>
          <w:lang w:val="en-ZW"/>
        </w:rPr>
        <w:t>proffer</w:t>
      </w:r>
      <w:r>
        <w:rPr>
          <w:lang w:val="en-ZW"/>
        </w:rPr>
        <w:t xml:space="preserve"> any of the legally recognised defences outlined above. </w:t>
      </w:r>
      <w:r w:rsidRPr="001D70BF">
        <w:t>He resort</w:t>
      </w:r>
      <w:r>
        <w:t>ed to the untenable</w:t>
      </w:r>
      <w:r w:rsidRPr="001D70BF">
        <w:t xml:space="preserve"> subterfuge of raising spurious points </w:t>
      </w:r>
      <w:r w:rsidRPr="001D70BF">
        <w:rPr>
          <w:i/>
        </w:rPr>
        <w:t xml:space="preserve">in </w:t>
      </w:r>
      <w:proofErr w:type="spellStart"/>
      <w:r w:rsidRPr="001D70BF">
        <w:rPr>
          <w:i/>
        </w:rPr>
        <w:t>limine</w:t>
      </w:r>
      <w:proofErr w:type="spellEnd"/>
      <w:r w:rsidRPr="001D70BF">
        <w:t>. Such uncon</w:t>
      </w:r>
      <w:r>
        <w:t>scionable</w:t>
      </w:r>
      <w:r w:rsidRPr="001D70BF">
        <w:t xml:space="preserve"> and unscrupulous conduct cannot escape censure.</w:t>
      </w:r>
    </w:p>
    <w:p w14:paraId="2DB1C07D" w14:textId="77777777" w:rsidR="00164158" w:rsidRDefault="00164158" w:rsidP="009E16F1">
      <w:pPr>
        <w:spacing w:line="360" w:lineRule="auto"/>
        <w:ind w:firstLine="720"/>
        <w:jc w:val="both"/>
      </w:pPr>
    </w:p>
    <w:p w14:paraId="173244FE" w14:textId="405DFBDD" w:rsidR="00164158" w:rsidRDefault="001D70BF" w:rsidP="009E16F1">
      <w:pPr>
        <w:spacing w:line="360" w:lineRule="auto"/>
        <w:ind w:firstLine="720"/>
        <w:jc w:val="both"/>
      </w:pPr>
      <w:r>
        <w:t>I</w:t>
      </w:r>
      <w:r w:rsidR="00164158">
        <w:t>t was for the foregoing that we dismissed the appeal with costs.</w:t>
      </w:r>
    </w:p>
    <w:p w14:paraId="7E8D85FB" w14:textId="77777777" w:rsidR="00164158" w:rsidRDefault="00164158" w:rsidP="009E16F1">
      <w:pPr>
        <w:spacing w:line="360" w:lineRule="auto"/>
        <w:ind w:firstLine="720"/>
        <w:jc w:val="both"/>
      </w:pPr>
    </w:p>
    <w:p w14:paraId="0ABE2375" w14:textId="77777777" w:rsidR="00121373" w:rsidRDefault="00121373" w:rsidP="009E16F1">
      <w:pPr>
        <w:spacing w:line="360" w:lineRule="auto"/>
        <w:ind w:firstLine="720"/>
        <w:jc w:val="both"/>
      </w:pPr>
    </w:p>
    <w:p w14:paraId="3B62F467" w14:textId="77777777" w:rsidR="00121373" w:rsidRDefault="00121373" w:rsidP="009E16F1">
      <w:pPr>
        <w:spacing w:line="360" w:lineRule="auto"/>
        <w:ind w:firstLine="720"/>
        <w:jc w:val="both"/>
      </w:pPr>
    </w:p>
    <w:p w14:paraId="5E46F666" w14:textId="77777777" w:rsidR="00121373" w:rsidRDefault="00121373" w:rsidP="009E16F1">
      <w:pPr>
        <w:spacing w:line="360" w:lineRule="auto"/>
        <w:ind w:firstLine="720"/>
        <w:jc w:val="both"/>
      </w:pPr>
    </w:p>
    <w:p w14:paraId="63677EDE" w14:textId="77777777" w:rsidR="00121373" w:rsidRDefault="00121373" w:rsidP="009E16F1">
      <w:pPr>
        <w:spacing w:line="360" w:lineRule="auto"/>
        <w:ind w:firstLine="720"/>
        <w:jc w:val="both"/>
      </w:pPr>
    </w:p>
    <w:p w14:paraId="147B065C" w14:textId="77777777" w:rsidR="00121373" w:rsidRDefault="00121373" w:rsidP="009E16F1">
      <w:pPr>
        <w:spacing w:line="360" w:lineRule="auto"/>
        <w:ind w:firstLine="720"/>
        <w:jc w:val="both"/>
      </w:pPr>
    </w:p>
    <w:p w14:paraId="4EAFA6A0" w14:textId="77777777" w:rsidR="00121373" w:rsidRDefault="00121373" w:rsidP="009E16F1">
      <w:pPr>
        <w:spacing w:line="360" w:lineRule="auto"/>
        <w:ind w:firstLine="720"/>
        <w:jc w:val="both"/>
      </w:pPr>
    </w:p>
    <w:p w14:paraId="43983299" w14:textId="77777777" w:rsidR="00121373" w:rsidRDefault="00121373" w:rsidP="009E16F1">
      <w:pPr>
        <w:spacing w:line="360" w:lineRule="auto"/>
        <w:ind w:firstLine="720"/>
        <w:jc w:val="both"/>
      </w:pPr>
    </w:p>
    <w:p w14:paraId="40D9F5B1" w14:textId="77777777" w:rsidR="00121373" w:rsidRDefault="00121373" w:rsidP="009E16F1">
      <w:pPr>
        <w:spacing w:line="360" w:lineRule="auto"/>
        <w:ind w:firstLine="720"/>
        <w:jc w:val="both"/>
      </w:pPr>
    </w:p>
    <w:p w14:paraId="04B3668A" w14:textId="77777777" w:rsidR="00121373" w:rsidRDefault="00121373" w:rsidP="009E16F1">
      <w:pPr>
        <w:spacing w:line="360" w:lineRule="auto"/>
        <w:ind w:firstLine="720"/>
        <w:jc w:val="both"/>
      </w:pPr>
    </w:p>
    <w:p w14:paraId="169B8B88" w14:textId="77777777" w:rsidR="00121373" w:rsidRDefault="00121373" w:rsidP="009E16F1">
      <w:pPr>
        <w:spacing w:line="360" w:lineRule="auto"/>
        <w:ind w:firstLine="720"/>
        <w:jc w:val="both"/>
      </w:pPr>
    </w:p>
    <w:p w14:paraId="1659F9DA" w14:textId="77777777" w:rsidR="00164158" w:rsidRDefault="00164158" w:rsidP="009E16F1">
      <w:pPr>
        <w:spacing w:line="360" w:lineRule="auto"/>
        <w:ind w:firstLine="720"/>
        <w:jc w:val="both"/>
      </w:pPr>
    </w:p>
    <w:p w14:paraId="14D2E9DA" w14:textId="70942F24" w:rsidR="00164158" w:rsidRDefault="00164158" w:rsidP="009E16F1">
      <w:pPr>
        <w:spacing w:line="360" w:lineRule="auto"/>
        <w:ind w:firstLine="720"/>
        <w:jc w:val="both"/>
      </w:pPr>
      <w:r>
        <w:t>ZISENGWE J</w:t>
      </w:r>
    </w:p>
    <w:p w14:paraId="7FE15A75" w14:textId="03582761" w:rsidR="001D70BF" w:rsidRDefault="001D70BF" w:rsidP="009E16F1">
      <w:pPr>
        <w:spacing w:line="360" w:lineRule="auto"/>
        <w:ind w:firstLine="720"/>
        <w:jc w:val="both"/>
      </w:pPr>
    </w:p>
    <w:p w14:paraId="67EB64DD" w14:textId="3B201C84" w:rsidR="001D70BF" w:rsidRDefault="001D70BF" w:rsidP="009E16F1">
      <w:pPr>
        <w:spacing w:line="360" w:lineRule="auto"/>
        <w:ind w:firstLine="720"/>
        <w:jc w:val="both"/>
      </w:pPr>
      <w:r>
        <w:t>MAWADZE J agreed……………………………</w:t>
      </w:r>
    </w:p>
    <w:p w14:paraId="7A6218DF" w14:textId="77777777" w:rsidR="00164158" w:rsidRDefault="00164158" w:rsidP="009E16F1">
      <w:pPr>
        <w:spacing w:line="360" w:lineRule="auto"/>
        <w:ind w:firstLine="720"/>
        <w:jc w:val="both"/>
      </w:pPr>
    </w:p>
    <w:p w14:paraId="09193737" w14:textId="77777777" w:rsidR="0059063B" w:rsidRDefault="0059063B" w:rsidP="009E16F1">
      <w:pPr>
        <w:spacing w:line="360" w:lineRule="auto"/>
        <w:ind w:firstLine="720"/>
        <w:jc w:val="both"/>
      </w:pPr>
    </w:p>
    <w:p w14:paraId="514E671F" w14:textId="542F4683" w:rsidR="00164158" w:rsidRPr="0059063B" w:rsidRDefault="001D70BF" w:rsidP="009E16F1">
      <w:pPr>
        <w:spacing w:line="360" w:lineRule="auto"/>
        <w:ind w:firstLine="720"/>
        <w:jc w:val="both"/>
        <w:rPr>
          <w:i/>
        </w:rPr>
      </w:pPr>
      <w:proofErr w:type="spellStart"/>
      <w:r>
        <w:rPr>
          <w:i/>
        </w:rPr>
        <w:t>K</w:t>
      </w:r>
      <w:r w:rsidR="00164158" w:rsidRPr="0059063B">
        <w:rPr>
          <w:i/>
        </w:rPr>
        <w:t>wande</w:t>
      </w:r>
      <w:proofErr w:type="spellEnd"/>
      <w:r w:rsidR="00164158" w:rsidRPr="0059063B">
        <w:rPr>
          <w:i/>
        </w:rPr>
        <w:t xml:space="preserve"> Legal Practitioners; </w:t>
      </w:r>
      <w:r w:rsidR="00164158" w:rsidRPr="0059063B">
        <w:rPr>
          <w:i/>
        </w:rPr>
        <w:tab/>
      </w:r>
      <w:r w:rsidR="00164158" w:rsidRPr="0059063B">
        <w:rPr>
          <w:i/>
        </w:rPr>
        <w:tab/>
        <w:t xml:space="preserve">Appellant’s Legal Practitioners, </w:t>
      </w:r>
    </w:p>
    <w:p w14:paraId="47D6FAA9" w14:textId="77777777" w:rsidR="0078228D" w:rsidRDefault="00164158" w:rsidP="0059063B">
      <w:pPr>
        <w:spacing w:line="360" w:lineRule="auto"/>
        <w:ind w:firstLine="720"/>
        <w:jc w:val="both"/>
      </w:pPr>
      <w:r w:rsidRPr="0059063B">
        <w:rPr>
          <w:i/>
        </w:rPr>
        <w:t xml:space="preserve">Hore and Partners, </w:t>
      </w:r>
      <w:r w:rsidRPr="0059063B">
        <w:rPr>
          <w:i/>
        </w:rPr>
        <w:tab/>
      </w:r>
      <w:r w:rsidRPr="0059063B">
        <w:rPr>
          <w:i/>
        </w:rPr>
        <w:tab/>
      </w:r>
      <w:r w:rsidRPr="0059063B">
        <w:rPr>
          <w:i/>
        </w:rPr>
        <w:tab/>
        <w:t>Respondent’s Legal Practitioners</w:t>
      </w:r>
    </w:p>
    <w:sectPr w:rsidR="007822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8617" w14:textId="77777777" w:rsidR="000769BB" w:rsidRDefault="000769BB" w:rsidP="00394834">
      <w:r>
        <w:separator/>
      </w:r>
    </w:p>
  </w:endnote>
  <w:endnote w:type="continuationSeparator" w:id="0">
    <w:p w14:paraId="02F6BE59" w14:textId="77777777" w:rsidR="000769BB" w:rsidRDefault="000769BB" w:rsidP="0039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DC3" w14:textId="77777777" w:rsidR="000769BB" w:rsidRDefault="000769BB" w:rsidP="00394834">
      <w:r>
        <w:separator/>
      </w:r>
    </w:p>
  </w:footnote>
  <w:footnote w:type="continuationSeparator" w:id="0">
    <w:p w14:paraId="35CE110E" w14:textId="77777777" w:rsidR="000769BB" w:rsidRDefault="000769BB" w:rsidP="0039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64672"/>
      <w:docPartObj>
        <w:docPartGallery w:val="Page Numbers (Top of Page)"/>
        <w:docPartUnique/>
      </w:docPartObj>
    </w:sdtPr>
    <w:sdtEndPr>
      <w:rPr>
        <w:noProof/>
      </w:rPr>
    </w:sdtEndPr>
    <w:sdtContent>
      <w:p w14:paraId="1AF86C39" w14:textId="77777777" w:rsidR="00087461" w:rsidRDefault="00087461">
        <w:pPr>
          <w:pStyle w:val="Header"/>
          <w:jc w:val="right"/>
          <w:rPr>
            <w:noProof/>
          </w:rPr>
        </w:pPr>
        <w:r>
          <w:fldChar w:fldCharType="begin"/>
        </w:r>
        <w:r>
          <w:instrText xml:space="preserve"> PAGE   \* MERGEFORMAT </w:instrText>
        </w:r>
        <w:r>
          <w:fldChar w:fldCharType="separate"/>
        </w:r>
        <w:r w:rsidR="00121373">
          <w:rPr>
            <w:noProof/>
          </w:rPr>
          <w:t>11</w:t>
        </w:r>
        <w:r>
          <w:rPr>
            <w:noProof/>
          </w:rPr>
          <w:fldChar w:fldCharType="end"/>
        </w:r>
      </w:p>
      <w:p w14:paraId="475C7444" w14:textId="77777777" w:rsidR="00087461" w:rsidRDefault="00716B75" w:rsidP="00716B75">
        <w:pPr>
          <w:pStyle w:val="Header"/>
          <w:jc w:val="right"/>
          <w:rPr>
            <w:noProof/>
          </w:rPr>
        </w:pPr>
        <w:r>
          <w:rPr>
            <w:noProof/>
          </w:rPr>
          <w:t>HMA39-23</w:t>
        </w:r>
      </w:p>
      <w:p w14:paraId="40E52FF7" w14:textId="77777777" w:rsidR="00087461" w:rsidRDefault="00716B75">
        <w:pPr>
          <w:pStyle w:val="Header"/>
          <w:jc w:val="right"/>
        </w:pPr>
        <w:r>
          <w:rPr>
            <w:noProof/>
          </w:rPr>
          <w:t>CIV’A 20</w:t>
        </w:r>
        <w:r w:rsidR="00AB7D90">
          <w:rPr>
            <w:noProof/>
          </w:rPr>
          <w:t>0</w:t>
        </w:r>
        <w:r>
          <w:rPr>
            <w:noProof/>
          </w:rPr>
          <w:t>-2</w:t>
        </w:r>
        <w:r w:rsidR="00AB7D90">
          <w:rPr>
            <w:noProof/>
          </w:rPr>
          <w:t>0</w:t>
        </w:r>
      </w:p>
    </w:sdtContent>
  </w:sdt>
  <w:p w14:paraId="336DF9B6" w14:textId="77777777" w:rsidR="00087461" w:rsidRDefault="00087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6F2"/>
    <w:multiLevelType w:val="hybridMultilevel"/>
    <w:tmpl w:val="7DF8278E"/>
    <w:lvl w:ilvl="0" w:tplc="2688A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41415"/>
    <w:multiLevelType w:val="hybridMultilevel"/>
    <w:tmpl w:val="F6B87A54"/>
    <w:lvl w:ilvl="0" w:tplc="C83E71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3060D8"/>
    <w:multiLevelType w:val="hybridMultilevel"/>
    <w:tmpl w:val="51CECE56"/>
    <w:lvl w:ilvl="0" w:tplc="C7A48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C4E8F"/>
    <w:multiLevelType w:val="hybridMultilevel"/>
    <w:tmpl w:val="A7C82C62"/>
    <w:lvl w:ilvl="0" w:tplc="9F249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F5F78"/>
    <w:multiLevelType w:val="hybridMultilevel"/>
    <w:tmpl w:val="7D384438"/>
    <w:lvl w:ilvl="0" w:tplc="1F9E59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A3F6201"/>
    <w:multiLevelType w:val="hybridMultilevel"/>
    <w:tmpl w:val="65E0AD20"/>
    <w:lvl w:ilvl="0" w:tplc="F7062E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0163919">
    <w:abstractNumId w:val="3"/>
  </w:num>
  <w:num w:numId="2" w16cid:durableId="1911309329">
    <w:abstractNumId w:val="1"/>
  </w:num>
  <w:num w:numId="3" w16cid:durableId="112020602">
    <w:abstractNumId w:val="5"/>
  </w:num>
  <w:num w:numId="4" w16cid:durableId="2101177266">
    <w:abstractNumId w:val="2"/>
  </w:num>
  <w:num w:numId="5" w16cid:durableId="1963799173">
    <w:abstractNumId w:val="4"/>
  </w:num>
  <w:num w:numId="6" w16cid:durableId="105474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34"/>
    <w:rsid w:val="00001EEE"/>
    <w:rsid w:val="00003B82"/>
    <w:rsid w:val="00003F86"/>
    <w:rsid w:val="00015B3E"/>
    <w:rsid w:val="000266EB"/>
    <w:rsid w:val="00030159"/>
    <w:rsid w:val="00032EEF"/>
    <w:rsid w:val="00033B84"/>
    <w:rsid w:val="00036C76"/>
    <w:rsid w:val="00046C3E"/>
    <w:rsid w:val="00054B2B"/>
    <w:rsid w:val="00055ADF"/>
    <w:rsid w:val="00061E2E"/>
    <w:rsid w:val="00064D47"/>
    <w:rsid w:val="00076366"/>
    <w:rsid w:val="000769BB"/>
    <w:rsid w:val="00081927"/>
    <w:rsid w:val="00087461"/>
    <w:rsid w:val="000A38D4"/>
    <w:rsid w:val="000B0601"/>
    <w:rsid w:val="000E31AB"/>
    <w:rsid w:val="000E5A20"/>
    <w:rsid w:val="000E66F5"/>
    <w:rsid w:val="00106963"/>
    <w:rsid w:val="001069D6"/>
    <w:rsid w:val="00114589"/>
    <w:rsid w:val="00120B75"/>
    <w:rsid w:val="00121373"/>
    <w:rsid w:val="00123292"/>
    <w:rsid w:val="00124A64"/>
    <w:rsid w:val="00145D19"/>
    <w:rsid w:val="00150277"/>
    <w:rsid w:val="00164158"/>
    <w:rsid w:val="00181013"/>
    <w:rsid w:val="001834EF"/>
    <w:rsid w:val="001A57AD"/>
    <w:rsid w:val="001B2F67"/>
    <w:rsid w:val="001C518A"/>
    <w:rsid w:val="001C65B5"/>
    <w:rsid w:val="001D70BF"/>
    <w:rsid w:val="001E44CC"/>
    <w:rsid w:val="00231E97"/>
    <w:rsid w:val="002370F5"/>
    <w:rsid w:val="0024201F"/>
    <w:rsid w:val="002421CF"/>
    <w:rsid w:val="00251694"/>
    <w:rsid w:val="00255C68"/>
    <w:rsid w:val="002642E8"/>
    <w:rsid w:val="0027019A"/>
    <w:rsid w:val="00283445"/>
    <w:rsid w:val="00285827"/>
    <w:rsid w:val="00295159"/>
    <w:rsid w:val="002960F8"/>
    <w:rsid w:val="002A10CC"/>
    <w:rsid w:val="002C03ED"/>
    <w:rsid w:val="002C6972"/>
    <w:rsid w:val="002C7B37"/>
    <w:rsid w:val="002E16B3"/>
    <w:rsid w:val="002E53AB"/>
    <w:rsid w:val="002F3EB1"/>
    <w:rsid w:val="003017B9"/>
    <w:rsid w:val="003218C7"/>
    <w:rsid w:val="00324357"/>
    <w:rsid w:val="0033782C"/>
    <w:rsid w:val="0034062D"/>
    <w:rsid w:val="0034230A"/>
    <w:rsid w:val="003609A3"/>
    <w:rsid w:val="0037723F"/>
    <w:rsid w:val="003911AE"/>
    <w:rsid w:val="003930A8"/>
    <w:rsid w:val="00394834"/>
    <w:rsid w:val="003A0FFF"/>
    <w:rsid w:val="003A38BF"/>
    <w:rsid w:val="003B06DC"/>
    <w:rsid w:val="003B44ED"/>
    <w:rsid w:val="003C3AA9"/>
    <w:rsid w:val="003D3138"/>
    <w:rsid w:val="003F3954"/>
    <w:rsid w:val="004118AB"/>
    <w:rsid w:val="00434C57"/>
    <w:rsid w:val="004418E4"/>
    <w:rsid w:val="00441E3C"/>
    <w:rsid w:val="00454DB3"/>
    <w:rsid w:val="004715FA"/>
    <w:rsid w:val="004729B8"/>
    <w:rsid w:val="0047732A"/>
    <w:rsid w:val="004818A5"/>
    <w:rsid w:val="004A0CA9"/>
    <w:rsid w:val="004A1855"/>
    <w:rsid w:val="004C423E"/>
    <w:rsid w:val="004D16DC"/>
    <w:rsid w:val="004D2455"/>
    <w:rsid w:val="004D599E"/>
    <w:rsid w:val="004E32FA"/>
    <w:rsid w:val="004E3CFC"/>
    <w:rsid w:val="004F11F7"/>
    <w:rsid w:val="004F4BB6"/>
    <w:rsid w:val="004F7EB9"/>
    <w:rsid w:val="005003B8"/>
    <w:rsid w:val="005006F9"/>
    <w:rsid w:val="00507264"/>
    <w:rsid w:val="00513D17"/>
    <w:rsid w:val="00513DF1"/>
    <w:rsid w:val="0051504A"/>
    <w:rsid w:val="0053185F"/>
    <w:rsid w:val="00537385"/>
    <w:rsid w:val="005417DD"/>
    <w:rsid w:val="00544273"/>
    <w:rsid w:val="00547C80"/>
    <w:rsid w:val="00577169"/>
    <w:rsid w:val="0059063B"/>
    <w:rsid w:val="00592B5F"/>
    <w:rsid w:val="005B7495"/>
    <w:rsid w:val="005C58AF"/>
    <w:rsid w:val="005C752A"/>
    <w:rsid w:val="005F00C9"/>
    <w:rsid w:val="005F756A"/>
    <w:rsid w:val="006026DC"/>
    <w:rsid w:val="00611DFF"/>
    <w:rsid w:val="006149A6"/>
    <w:rsid w:val="00622832"/>
    <w:rsid w:val="00627A5E"/>
    <w:rsid w:val="0063702B"/>
    <w:rsid w:val="006465B7"/>
    <w:rsid w:val="00650667"/>
    <w:rsid w:val="006624E5"/>
    <w:rsid w:val="00664283"/>
    <w:rsid w:val="00674A2C"/>
    <w:rsid w:val="00677C11"/>
    <w:rsid w:val="0069074D"/>
    <w:rsid w:val="00693C04"/>
    <w:rsid w:val="0069470E"/>
    <w:rsid w:val="006950CB"/>
    <w:rsid w:val="006A554C"/>
    <w:rsid w:val="006A5BD9"/>
    <w:rsid w:val="006A5C85"/>
    <w:rsid w:val="006A6CE4"/>
    <w:rsid w:val="006B1443"/>
    <w:rsid w:val="006C1141"/>
    <w:rsid w:val="006C434E"/>
    <w:rsid w:val="006D0DB4"/>
    <w:rsid w:val="006D7934"/>
    <w:rsid w:val="00710E62"/>
    <w:rsid w:val="007135FC"/>
    <w:rsid w:val="00714F27"/>
    <w:rsid w:val="00716B75"/>
    <w:rsid w:val="007174F1"/>
    <w:rsid w:val="00780D76"/>
    <w:rsid w:val="0078228D"/>
    <w:rsid w:val="007849E2"/>
    <w:rsid w:val="007853AC"/>
    <w:rsid w:val="00786638"/>
    <w:rsid w:val="00795937"/>
    <w:rsid w:val="00795B50"/>
    <w:rsid w:val="007A4976"/>
    <w:rsid w:val="007A7BF7"/>
    <w:rsid w:val="007B263D"/>
    <w:rsid w:val="007C534D"/>
    <w:rsid w:val="007D5C05"/>
    <w:rsid w:val="007D74EF"/>
    <w:rsid w:val="007D7E61"/>
    <w:rsid w:val="007E12E4"/>
    <w:rsid w:val="007E76FA"/>
    <w:rsid w:val="00802B0E"/>
    <w:rsid w:val="00805C1D"/>
    <w:rsid w:val="00807CB5"/>
    <w:rsid w:val="008138BA"/>
    <w:rsid w:val="0081751A"/>
    <w:rsid w:val="00830945"/>
    <w:rsid w:val="00842CA8"/>
    <w:rsid w:val="00847EF2"/>
    <w:rsid w:val="0085344A"/>
    <w:rsid w:val="0086121D"/>
    <w:rsid w:val="0086545F"/>
    <w:rsid w:val="00866D3E"/>
    <w:rsid w:val="00876763"/>
    <w:rsid w:val="008779C3"/>
    <w:rsid w:val="008863BF"/>
    <w:rsid w:val="00895646"/>
    <w:rsid w:val="00897EC9"/>
    <w:rsid w:val="008B5B49"/>
    <w:rsid w:val="0090038C"/>
    <w:rsid w:val="00903A45"/>
    <w:rsid w:val="009154AA"/>
    <w:rsid w:val="00917099"/>
    <w:rsid w:val="00921611"/>
    <w:rsid w:val="00926FA6"/>
    <w:rsid w:val="009365DB"/>
    <w:rsid w:val="00961A5E"/>
    <w:rsid w:val="009B1AF3"/>
    <w:rsid w:val="009C5A20"/>
    <w:rsid w:val="009D1C60"/>
    <w:rsid w:val="009D6D15"/>
    <w:rsid w:val="009E16F1"/>
    <w:rsid w:val="009E2211"/>
    <w:rsid w:val="009E60F5"/>
    <w:rsid w:val="009F00D6"/>
    <w:rsid w:val="009F2E6A"/>
    <w:rsid w:val="00A01D8E"/>
    <w:rsid w:val="00A03ACB"/>
    <w:rsid w:val="00A04405"/>
    <w:rsid w:val="00A133E7"/>
    <w:rsid w:val="00A178FD"/>
    <w:rsid w:val="00A31FDD"/>
    <w:rsid w:val="00A46D6D"/>
    <w:rsid w:val="00A649E6"/>
    <w:rsid w:val="00A65C9C"/>
    <w:rsid w:val="00A6785F"/>
    <w:rsid w:val="00A825EB"/>
    <w:rsid w:val="00AB44F6"/>
    <w:rsid w:val="00AB7D90"/>
    <w:rsid w:val="00AF2CE4"/>
    <w:rsid w:val="00AF743B"/>
    <w:rsid w:val="00AF775F"/>
    <w:rsid w:val="00B04086"/>
    <w:rsid w:val="00B116E1"/>
    <w:rsid w:val="00B179F9"/>
    <w:rsid w:val="00B25026"/>
    <w:rsid w:val="00B26880"/>
    <w:rsid w:val="00B27050"/>
    <w:rsid w:val="00B2794D"/>
    <w:rsid w:val="00B36632"/>
    <w:rsid w:val="00B37512"/>
    <w:rsid w:val="00B41C26"/>
    <w:rsid w:val="00B43FFA"/>
    <w:rsid w:val="00B45B4C"/>
    <w:rsid w:val="00B46406"/>
    <w:rsid w:val="00B50B12"/>
    <w:rsid w:val="00B56B2C"/>
    <w:rsid w:val="00B57E84"/>
    <w:rsid w:val="00B7245D"/>
    <w:rsid w:val="00B83139"/>
    <w:rsid w:val="00B96055"/>
    <w:rsid w:val="00BA1E77"/>
    <w:rsid w:val="00BA7A09"/>
    <w:rsid w:val="00BB0642"/>
    <w:rsid w:val="00BB4538"/>
    <w:rsid w:val="00BD0ADE"/>
    <w:rsid w:val="00BE355C"/>
    <w:rsid w:val="00BE47E8"/>
    <w:rsid w:val="00C042A1"/>
    <w:rsid w:val="00C044B0"/>
    <w:rsid w:val="00C16EE8"/>
    <w:rsid w:val="00C321B5"/>
    <w:rsid w:val="00C40822"/>
    <w:rsid w:val="00C5252F"/>
    <w:rsid w:val="00C552A2"/>
    <w:rsid w:val="00C57A05"/>
    <w:rsid w:val="00C6098D"/>
    <w:rsid w:val="00C644A8"/>
    <w:rsid w:val="00C65D11"/>
    <w:rsid w:val="00C65E05"/>
    <w:rsid w:val="00C702AB"/>
    <w:rsid w:val="00C70ABA"/>
    <w:rsid w:val="00C73378"/>
    <w:rsid w:val="00C7736C"/>
    <w:rsid w:val="00C847FD"/>
    <w:rsid w:val="00C86FF7"/>
    <w:rsid w:val="00CA36E2"/>
    <w:rsid w:val="00CA3FDF"/>
    <w:rsid w:val="00CA7898"/>
    <w:rsid w:val="00CB1AA3"/>
    <w:rsid w:val="00CD4386"/>
    <w:rsid w:val="00CD496A"/>
    <w:rsid w:val="00CE2F69"/>
    <w:rsid w:val="00CE4F4E"/>
    <w:rsid w:val="00CE7335"/>
    <w:rsid w:val="00CE7E9C"/>
    <w:rsid w:val="00D32F1B"/>
    <w:rsid w:val="00D37D1E"/>
    <w:rsid w:val="00D41CF3"/>
    <w:rsid w:val="00D42DDB"/>
    <w:rsid w:val="00D44A4B"/>
    <w:rsid w:val="00D45A14"/>
    <w:rsid w:val="00D461EC"/>
    <w:rsid w:val="00D65C8A"/>
    <w:rsid w:val="00D71EE4"/>
    <w:rsid w:val="00D7271D"/>
    <w:rsid w:val="00D80F0A"/>
    <w:rsid w:val="00D90892"/>
    <w:rsid w:val="00D912E6"/>
    <w:rsid w:val="00D940E8"/>
    <w:rsid w:val="00D96BA4"/>
    <w:rsid w:val="00DA10D3"/>
    <w:rsid w:val="00DC33E7"/>
    <w:rsid w:val="00DC623C"/>
    <w:rsid w:val="00DD57A0"/>
    <w:rsid w:val="00DD68E9"/>
    <w:rsid w:val="00DD78C2"/>
    <w:rsid w:val="00DE0E1B"/>
    <w:rsid w:val="00DE301E"/>
    <w:rsid w:val="00DE51E6"/>
    <w:rsid w:val="00DE54CF"/>
    <w:rsid w:val="00E3423F"/>
    <w:rsid w:val="00E43A6E"/>
    <w:rsid w:val="00E4533C"/>
    <w:rsid w:val="00E602B2"/>
    <w:rsid w:val="00E633E8"/>
    <w:rsid w:val="00E6763C"/>
    <w:rsid w:val="00E7762E"/>
    <w:rsid w:val="00E8335D"/>
    <w:rsid w:val="00EA5826"/>
    <w:rsid w:val="00EB6264"/>
    <w:rsid w:val="00EC1EA5"/>
    <w:rsid w:val="00EC6B14"/>
    <w:rsid w:val="00EC77B7"/>
    <w:rsid w:val="00EC7AE7"/>
    <w:rsid w:val="00F20F9C"/>
    <w:rsid w:val="00F26721"/>
    <w:rsid w:val="00F41118"/>
    <w:rsid w:val="00F4737F"/>
    <w:rsid w:val="00F552D5"/>
    <w:rsid w:val="00F564E0"/>
    <w:rsid w:val="00F806B8"/>
    <w:rsid w:val="00F879C5"/>
    <w:rsid w:val="00F928E4"/>
    <w:rsid w:val="00F93CC8"/>
    <w:rsid w:val="00F96454"/>
    <w:rsid w:val="00FC48F7"/>
    <w:rsid w:val="00FC54E8"/>
    <w:rsid w:val="00FD3312"/>
    <w:rsid w:val="00FD3A1C"/>
    <w:rsid w:val="00FE015D"/>
    <w:rsid w:val="00FF0934"/>
    <w:rsid w:val="00FF119C"/>
    <w:rsid w:val="00FF32A3"/>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16EA"/>
  <w15:chartTrackingRefBased/>
  <w15:docId w15:val="{927C5744-27EA-47F7-81E5-3D48BFA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34"/>
    <w:pPr>
      <w:ind w:left="720"/>
      <w:contextualSpacing/>
    </w:pPr>
  </w:style>
  <w:style w:type="paragraph" w:styleId="Header">
    <w:name w:val="header"/>
    <w:basedOn w:val="Normal"/>
    <w:link w:val="HeaderChar"/>
    <w:uiPriority w:val="99"/>
    <w:unhideWhenUsed/>
    <w:rsid w:val="00394834"/>
    <w:pPr>
      <w:tabs>
        <w:tab w:val="center" w:pos="4680"/>
        <w:tab w:val="right" w:pos="9360"/>
      </w:tabs>
    </w:pPr>
  </w:style>
  <w:style w:type="character" w:customStyle="1" w:styleId="HeaderChar">
    <w:name w:val="Header Char"/>
    <w:basedOn w:val="DefaultParagraphFont"/>
    <w:link w:val="Header"/>
    <w:uiPriority w:val="99"/>
    <w:rsid w:val="0039483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94834"/>
    <w:pPr>
      <w:tabs>
        <w:tab w:val="center" w:pos="4680"/>
        <w:tab w:val="right" w:pos="9360"/>
      </w:tabs>
    </w:pPr>
  </w:style>
  <w:style w:type="character" w:customStyle="1" w:styleId="FooterChar">
    <w:name w:val="Footer Char"/>
    <w:basedOn w:val="DefaultParagraphFont"/>
    <w:link w:val="Footer"/>
    <w:uiPriority w:val="99"/>
    <w:rsid w:val="0039483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F1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9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2</cp:revision>
  <cp:lastPrinted>2022-01-18T09:49:00Z</cp:lastPrinted>
  <dcterms:created xsi:type="dcterms:W3CDTF">2023-11-29T13:17:00Z</dcterms:created>
  <dcterms:modified xsi:type="dcterms:W3CDTF">2023-11-29T13:17:00Z</dcterms:modified>
</cp:coreProperties>
</file>