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E12CC" w14:textId="27EE4AFA" w:rsidR="00746726" w:rsidRPr="00102613" w:rsidRDefault="00746726" w:rsidP="00746726">
      <w:pPr>
        <w:spacing w:after="0" w:line="240" w:lineRule="auto"/>
        <w:rPr>
          <w:rFonts w:ascii="Times New Roman" w:hAnsi="Times New Roman" w:cs="Times New Roman"/>
          <w:sz w:val="24"/>
          <w:szCs w:val="24"/>
          <w:lang w:val="en-US"/>
        </w:rPr>
      </w:pPr>
      <w:bookmarkStart w:id="0" w:name="_GoBack"/>
      <w:bookmarkEnd w:id="0"/>
      <w:r w:rsidRPr="00102613">
        <w:rPr>
          <w:rFonts w:ascii="Times New Roman" w:hAnsi="Times New Roman" w:cs="Times New Roman"/>
          <w:sz w:val="24"/>
          <w:szCs w:val="24"/>
          <w:lang w:val="en-US"/>
        </w:rPr>
        <w:t>THE STATE</w:t>
      </w:r>
    </w:p>
    <w:p w14:paraId="4724016A" w14:textId="77777777" w:rsidR="00746726" w:rsidRDefault="00746726" w:rsidP="0074672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versus</w:t>
      </w:r>
    </w:p>
    <w:p w14:paraId="4B570929" w14:textId="77777777" w:rsidR="00746726" w:rsidRDefault="00746726" w:rsidP="0074672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PRECIOUS MACHIVENYIKA</w:t>
      </w:r>
    </w:p>
    <w:p w14:paraId="650758F0" w14:textId="77777777" w:rsidR="00746726" w:rsidRDefault="00746726" w:rsidP="00746726">
      <w:pPr>
        <w:spacing w:after="0" w:line="240" w:lineRule="auto"/>
        <w:rPr>
          <w:rFonts w:ascii="Times New Roman" w:hAnsi="Times New Roman" w:cs="Times New Roman"/>
          <w:sz w:val="24"/>
          <w:szCs w:val="24"/>
          <w:lang w:val="en-US"/>
        </w:rPr>
      </w:pPr>
    </w:p>
    <w:p w14:paraId="65EBD05E" w14:textId="77777777" w:rsidR="00746726" w:rsidRPr="00352CE2" w:rsidRDefault="00746726" w:rsidP="00746726">
      <w:pPr>
        <w:spacing w:after="0" w:line="240" w:lineRule="auto"/>
        <w:rPr>
          <w:rFonts w:ascii="Times New Roman" w:hAnsi="Times New Roman" w:cs="Times New Roman"/>
          <w:sz w:val="24"/>
          <w:szCs w:val="24"/>
          <w:lang w:val="en-US"/>
        </w:rPr>
      </w:pPr>
    </w:p>
    <w:p w14:paraId="22A5968B" w14:textId="77777777" w:rsidR="00746726" w:rsidRPr="00102613" w:rsidRDefault="00746726" w:rsidP="00746726">
      <w:pPr>
        <w:pStyle w:val="Default"/>
      </w:pPr>
      <w:r w:rsidRPr="00102613">
        <w:t xml:space="preserve">HIGH COURT OF ZIMBABWE </w:t>
      </w:r>
    </w:p>
    <w:p w14:paraId="458D17A8" w14:textId="77777777" w:rsidR="00746726" w:rsidRPr="00102613" w:rsidRDefault="00746726" w:rsidP="00746726">
      <w:pPr>
        <w:pStyle w:val="Default"/>
      </w:pPr>
      <w:r w:rsidRPr="00102613">
        <w:t xml:space="preserve">MUTEVEDZI J </w:t>
      </w:r>
    </w:p>
    <w:p w14:paraId="50D1549B" w14:textId="3FECD999" w:rsidR="00746726" w:rsidRDefault="00746726" w:rsidP="00746726">
      <w:pPr>
        <w:pStyle w:val="Default"/>
      </w:pPr>
      <w:r>
        <w:t xml:space="preserve">HARARE, </w:t>
      </w:r>
      <w:r w:rsidR="00BE6AC3">
        <w:t>19 March 2024</w:t>
      </w:r>
    </w:p>
    <w:p w14:paraId="1811C9C3" w14:textId="77777777" w:rsidR="00A83F68" w:rsidRDefault="00A83F68" w:rsidP="00746726">
      <w:pPr>
        <w:pStyle w:val="Default"/>
      </w:pPr>
    </w:p>
    <w:p w14:paraId="09A7B094" w14:textId="77777777" w:rsidR="00746726" w:rsidRPr="006105D3" w:rsidRDefault="00746726" w:rsidP="00746726">
      <w:pPr>
        <w:pStyle w:val="Default"/>
      </w:pPr>
    </w:p>
    <w:p w14:paraId="012DD152" w14:textId="4F189D4E" w:rsidR="00746726" w:rsidRDefault="00746726" w:rsidP="00746726">
      <w:pPr>
        <w:pStyle w:val="Default"/>
      </w:pPr>
      <w:r>
        <w:rPr>
          <w:b/>
          <w:bCs/>
        </w:rPr>
        <w:t xml:space="preserve">Assessors:   </w:t>
      </w:r>
      <w:r>
        <w:t xml:space="preserve">Mr </w:t>
      </w:r>
      <w:r w:rsidRPr="00352CE2">
        <w:rPr>
          <w:i/>
        </w:rPr>
        <w:t>Kunaka</w:t>
      </w:r>
    </w:p>
    <w:p w14:paraId="55C3E911" w14:textId="77777777" w:rsidR="00746726" w:rsidRPr="00352CE2" w:rsidRDefault="00746726" w:rsidP="00746726">
      <w:pPr>
        <w:pStyle w:val="Default"/>
        <w:rPr>
          <w:i/>
        </w:rPr>
      </w:pPr>
      <w:r>
        <w:t xml:space="preserve">                     Mr </w:t>
      </w:r>
      <w:r w:rsidRPr="00352CE2">
        <w:rPr>
          <w:i/>
        </w:rPr>
        <w:t>Mhandu</w:t>
      </w:r>
    </w:p>
    <w:p w14:paraId="57D10672" w14:textId="77777777" w:rsidR="00746726" w:rsidRDefault="00746726" w:rsidP="00746726">
      <w:pPr>
        <w:pStyle w:val="Default"/>
        <w:spacing w:line="360" w:lineRule="auto"/>
        <w:rPr>
          <w:b/>
          <w:bCs/>
        </w:rPr>
      </w:pPr>
    </w:p>
    <w:p w14:paraId="73C53280" w14:textId="77777777" w:rsidR="00A83F68" w:rsidRDefault="00A83F68" w:rsidP="00746726">
      <w:pPr>
        <w:pStyle w:val="Default"/>
        <w:spacing w:line="360" w:lineRule="auto"/>
        <w:rPr>
          <w:b/>
          <w:bCs/>
        </w:rPr>
      </w:pPr>
    </w:p>
    <w:p w14:paraId="08F11D7B" w14:textId="7F4B21C0" w:rsidR="00746726" w:rsidRDefault="00746726" w:rsidP="00746726">
      <w:pPr>
        <w:pStyle w:val="Default"/>
        <w:spacing w:line="360" w:lineRule="auto"/>
        <w:rPr>
          <w:b/>
          <w:bCs/>
        </w:rPr>
      </w:pPr>
      <w:r>
        <w:rPr>
          <w:b/>
          <w:bCs/>
        </w:rPr>
        <w:t>Criminal Trial</w:t>
      </w:r>
      <w:r w:rsidR="00BE6AC3">
        <w:rPr>
          <w:b/>
          <w:bCs/>
        </w:rPr>
        <w:t xml:space="preserve">- sentencing judgment </w:t>
      </w:r>
    </w:p>
    <w:p w14:paraId="2504B7E6" w14:textId="77777777" w:rsidR="00746726" w:rsidRPr="006105D3" w:rsidRDefault="00746726" w:rsidP="00746726">
      <w:pPr>
        <w:pStyle w:val="Default"/>
        <w:spacing w:line="360" w:lineRule="auto"/>
        <w:rPr>
          <w:b/>
          <w:bCs/>
        </w:rPr>
      </w:pPr>
    </w:p>
    <w:p w14:paraId="410FBF95" w14:textId="650CD4A6" w:rsidR="00746726" w:rsidRPr="006105D3" w:rsidRDefault="00746726" w:rsidP="00746726">
      <w:pPr>
        <w:pStyle w:val="Default"/>
        <w:rPr>
          <w:bCs/>
          <w:i/>
        </w:rPr>
      </w:pPr>
      <w:r>
        <w:rPr>
          <w:bCs/>
          <w:i/>
        </w:rPr>
        <w:t xml:space="preserve"> T M Havazvidi, </w:t>
      </w:r>
      <w:r w:rsidRPr="00046ADB">
        <w:rPr>
          <w:bCs/>
        </w:rPr>
        <w:t>for the State</w:t>
      </w:r>
    </w:p>
    <w:p w14:paraId="1435867B" w14:textId="3846C616" w:rsidR="00746726" w:rsidRDefault="00746726" w:rsidP="00746726">
      <w:pPr>
        <w:pStyle w:val="Default"/>
        <w:rPr>
          <w:bCs/>
          <w:i/>
        </w:rPr>
      </w:pPr>
      <w:r w:rsidRPr="006105D3">
        <w:rPr>
          <w:bCs/>
          <w:i/>
        </w:rPr>
        <w:t xml:space="preserve"> </w:t>
      </w:r>
      <w:r>
        <w:rPr>
          <w:bCs/>
          <w:i/>
        </w:rPr>
        <w:t>A Muvirimi,</w:t>
      </w:r>
      <w:r w:rsidRPr="006105D3">
        <w:rPr>
          <w:bCs/>
          <w:i/>
        </w:rPr>
        <w:t xml:space="preserve"> </w:t>
      </w:r>
      <w:r w:rsidRPr="00046ADB">
        <w:rPr>
          <w:bCs/>
        </w:rPr>
        <w:t>for the accused</w:t>
      </w:r>
    </w:p>
    <w:p w14:paraId="6474DDDF" w14:textId="77777777" w:rsidR="00746726" w:rsidRDefault="00746726" w:rsidP="00746726">
      <w:pPr>
        <w:pStyle w:val="Default"/>
        <w:spacing w:line="360" w:lineRule="auto"/>
        <w:rPr>
          <w:bCs/>
          <w:i/>
        </w:rPr>
      </w:pPr>
    </w:p>
    <w:p w14:paraId="5E049433" w14:textId="3600FB1E" w:rsidR="00C21461" w:rsidRDefault="00A83F68" w:rsidP="00A83F68">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ab/>
      </w:r>
      <w:r w:rsidR="00746726" w:rsidRPr="0050453F">
        <w:rPr>
          <w:rFonts w:ascii="Times New Roman" w:hAnsi="Times New Roman" w:cs="Times New Roman"/>
          <w:b/>
          <w:bCs/>
          <w:sz w:val="24"/>
          <w:szCs w:val="24"/>
        </w:rPr>
        <w:t>MUTEVEDZI J:</w:t>
      </w:r>
      <w:r>
        <w:rPr>
          <w:rFonts w:ascii="Times New Roman" w:hAnsi="Times New Roman" w:cs="Times New Roman"/>
          <w:b/>
          <w:bCs/>
          <w:sz w:val="24"/>
          <w:szCs w:val="24"/>
        </w:rPr>
        <w:t xml:space="preserve">    </w:t>
      </w:r>
      <w:r w:rsidR="009E5198" w:rsidRPr="009E5198">
        <w:rPr>
          <w:rFonts w:ascii="Times New Roman" w:hAnsi="Times New Roman" w:cs="Times New Roman"/>
          <w:sz w:val="24"/>
          <w:szCs w:val="24"/>
        </w:rPr>
        <w:t>This is yet another case of a life lost through domestic violence</w:t>
      </w:r>
      <w:r w:rsidR="007402B5">
        <w:rPr>
          <w:rFonts w:ascii="Times New Roman" w:hAnsi="Times New Roman" w:cs="Times New Roman"/>
          <w:sz w:val="24"/>
          <w:szCs w:val="24"/>
        </w:rPr>
        <w:t xml:space="preserve">, a </w:t>
      </w:r>
      <w:r w:rsidR="009E5198" w:rsidRPr="009E5198">
        <w:rPr>
          <w:rFonts w:ascii="Times New Roman" w:hAnsi="Times New Roman" w:cs="Times New Roman"/>
          <w:sz w:val="24"/>
          <w:szCs w:val="24"/>
        </w:rPr>
        <w:t xml:space="preserve">cycle </w:t>
      </w:r>
      <w:r w:rsidR="007402B5">
        <w:rPr>
          <w:rFonts w:ascii="Times New Roman" w:hAnsi="Times New Roman" w:cs="Times New Roman"/>
          <w:sz w:val="24"/>
          <w:szCs w:val="24"/>
        </w:rPr>
        <w:t>which</w:t>
      </w:r>
      <w:r w:rsidR="009E5198" w:rsidRPr="009E5198">
        <w:rPr>
          <w:rFonts w:ascii="Times New Roman" w:hAnsi="Times New Roman" w:cs="Times New Roman"/>
          <w:sz w:val="24"/>
          <w:szCs w:val="24"/>
        </w:rPr>
        <w:t xml:space="preserve"> appears to continue unabated.</w:t>
      </w:r>
      <w:r w:rsidR="009E5198">
        <w:rPr>
          <w:rFonts w:ascii="Times New Roman" w:hAnsi="Times New Roman" w:cs="Times New Roman"/>
          <w:b/>
          <w:bCs/>
          <w:sz w:val="24"/>
          <w:szCs w:val="24"/>
        </w:rPr>
        <w:t xml:space="preserve"> </w:t>
      </w:r>
      <w:r w:rsidR="00746726">
        <w:rPr>
          <w:rFonts w:ascii="Times New Roman" w:hAnsi="Times New Roman" w:cs="Times New Roman"/>
          <w:sz w:val="24"/>
          <w:szCs w:val="24"/>
        </w:rPr>
        <w:t xml:space="preserve">The offender, Precious Machivenyika negligently caused the death of her husband. She stabbed him with a knife. He bled to death from the injuries sustained. The irony of it all is that the offender stabbed the deceased in a brawl in which he wanted to prevent </w:t>
      </w:r>
      <w:r w:rsidR="00660F0D">
        <w:rPr>
          <w:rFonts w:ascii="Times New Roman" w:hAnsi="Times New Roman" w:cs="Times New Roman"/>
          <w:sz w:val="24"/>
          <w:szCs w:val="24"/>
        </w:rPr>
        <w:t>her (the offender)</w:t>
      </w:r>
      <w:r w:rsidR="00746726">
        <w:rPr>
          <w:rFonts w:ascii="Times New Roman" w:hAnsi="Times New Roman" w:cs="Times New Roman"/>
          <w:sz w:val="24"/>
          <w:szCs w:val="24"/>
        </w:rPr>
        <w:t xml:space="preserve"> from taking her </w:t>
      </w:r>
      <w:r w:rsidR="00660F0D">
        <w:rPr>
          <w:rFonts w:ascii="Times New Roman" w:hAnsi="Times New Roman" w:cs="Times New Roman"/>
          <w:sz w:val="24"/>
          <w:szCs w:val="24"/>
        </w:rPr>
        <w:t xml:space="preserve">own life. The deceased was embarrassed by his own infidelity. Just before his death he had been caught red-handed being intimate with someone else’s wife. The husband of his paramour had then proceeded to report him to the offender who on hearing the </w:t>
      </w:r>
      <w:r w:rsidR="00C21461">
        <w:rPr>
          <w:rFonts w:ascii="Times New Roman" w:hAnsi="Times New Roman" w:cs="Times New Roman"/>
          <w:sz w:val="24"/>
          <w:szCs w:val="24"/>
        </w:rPr>
        <w:t>unbearable</w:t>
      </w:r>
      <w:r w:rsidR="00660F0D">
        <w:rPr>
          <w:rFonts w:ascii="Times New Roman" w:hAnsi="Times New Roman" w:cs="Times New Roman"/>
          <w:sz w:val="24"/>
          <w:szCs w:val="24"/>
        </w:rPr>
        <w:t xml:space="preserve"> news thought that she had nothing to live for. She </w:t>
      </w:r>
      <w:r w:rsidR="00C21461">
        <w:rPr>
          <w:rFonts w:ascii="Times New Roman" w:hAnsi="Times New Roman" w:cs="Times New Roman"/>
          <w:sz w:val="24"/>
          <w:szCs w:val="24"/>
        </w:rPr>
        <w:t>found</w:t>
      </w:r>
      <w:r w:rsidR="00660F0D">
        <w:rPr>
          <w:rFonts w:ascii="Times New Roman" w:hAnsi="Times New Roman" w:cs="Times New Roman"/>
          <w:sz w:val="24"/>
          <w:szCs w:val="24"/>
        </w:rPr>
        <w:t xml:space="preserve"> a knife in their house with which she </w:t>
      </w:r>
      <w:r w:rsidR="00D14D02">
        <w:rPr>
          <w:rFonts w:ascii="Times New Roman" w:hAnsi="Times New Roman" w:cs="Times New Roman"/>
          <w:sz w:val="24"/>
          <w:szCs w:val="24"/>
        </w:rPr>
        <w:t>intended</w:t>
      </w:r>
      <w:r w:rsidR="00660F0D">
        <w:rPr>
          <w:rFonts w:ascii="Times New Roman" w:hAnsi="Times New Roman" w:cs="Times New Roman"/>
          <w:sz w:val="24"/>
          <w:szCs w:val="24"/>
        </w:rPr>
        <w:t xml:space="preserve"> to end her life. She </w:t>
      </w:r>
      <w:r w:rsidR="00C21461">
        <w:rPr>
          <w:rFonts w:ascii="Times New Roman" w:hAnsi="Times New Roman" w:cs="Times New Roman"/>
          <w:sz w:val="24"/>
          <w:szCs w:val="24"/>
        </w:rPr>
        <w:t>ran out</w:t>
      </w:r>
      <w:r w:rsidR="00660F0D">
        <w:rPr>
          <w:rFonts w:ascii="Times New Roman" w:hAnsi="Times New Roman" w:cs="Times New Roman"/>
          <w:sz w:val="24"/>
          <w:szCs w:val="24"/>
        </w:rPr>
        <w:t xml:space="preserve"> of the house in the direction towards the homestead of the woman who was in love with the deceased. He gave chase and caught up with her. In the ensuing commotion, the offender stabbed the deceased who was rushed to hospital but died on admission thereat. </w:t>
      </w:r>
    </w:p>
    <w:p w14:paraId="4742245E" w14:textId="5EAE7827" w:rsidR="009E5198" w:rsidRDefault="00A83F68" w:rsidP="00A83F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21461">
        <w:rPr>
          <w:rFonts w:ascii="Times New Roman" w:hAnsi="Times New Roman" w:cs="Times New Roman"/>
          <w:sz w:val="24"/>
          <w:szCs w:val="24"/>
        </w:rPr>
        <w:t xml:space="preserve">This court has previously stated that in culpable homicide cases, it is imperative for the court to ascertain an offender’s degree of negligence in order to properly assess sentence. </w:t>
      </w:r>
      <w:r w:rsidR="00660F0D">
        <w:rPr>
          <w:rFonts w:ascii="Times New Roman" w:hAnsi="Times New Roman" w:cs="Times New Roman"/>
          <w:sz w:val="24"/>
          <w:szCs w:val="24"/>
        </w:rPr>
        <w:t xml:space="preserve"> </w:t>
      </w:r>
      <w:r w:rsidR="00C21461">
        <w:rPr>
          <w:rFonts w:ascii="Times New Roman" w:hAnsi="Times New Roman" w:cs="Times New Roman"/>
          <w:sz w:val="24"/>
          <w:szCs w:val="24"/>
        </w:rPr>
        <w:t>In this case, the circumstances as outlined above clearly show that the offender was bent on taking her own life. She became livid that the deceased wanted to prevent her from accomplishing her desire. She stabbed him in the stupid hope that he would release her. He did not. But as is clear, that negligence can only be bracketed in the category of ordinary negligence.</w:t>
      </w:r>
    </w:p>
    <w:p w14:paraId="5F389A64" w14:textId="66444A3B" w:rsidR="00DD1033" w:rsidRDefault="00A83F68" w:rsidP="00A83F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9E5198">
        <w:rPr>
          <w:rFonts w:ascii="Times New Roman" w:hAnsi="Times New Roman" w:cs="Times New Roman"/>
          <w:sz w:val="24"/>
          <w:szCs w:val="24"/>
        </w:rPr>
        <w:t xml:space="preserve">In his submissions in mitigation on behalf of the offender, Mr </w:t>
      </w:r>
      <w:r w:rsidR="009E5198" w:rsidRPr="00B7128D">
        <w:rPr>
          <w:rFonts w:ascii="Times New Roman" w:hAnsi="Times New Roman" w:cs="Times New Roman"/>
          <w:i/>
          <w:iCs/>
          <w:sz w:val="24"/>
          <w:szCs w:val="24"/>
        </w:rPr>
        <w:t>Muvirimi</w:t>
      </w:r>
      <w:r w:rsidR="009E5198">
        <w:rPr>
          <w:rFonts w:ascii="Times New Roman" w:hAnsi="Times New Roman" w:cs="Times New Roman"/>
          <w:sz w:val="24"/>
          <w:szCs w:val="24"/>
        </w:rPr>
        <w:t xml:space="preserve"> disclosed startling revelations about the offender’s upbringing. He said from childhood the offender lived a troubled and complicated life. Her father suspected that she was not his child. In </w:t>
      </w:r>
      <w:r w:rsidR="00B7128D">
        <w:rPr>
          <w:rFonts w:ascii="Times New Roman" w:hAnsi="Times New Roman" w:cs="Times New Roman"/>
          <w:sz w:val="24"/>
          <w:szCs w:val="24"/>
        </w:rPr>
        <w:t>fact,</w:t>
      </w:r>
      <w:r w:rsidR="009E5198">
        <w:rPr>
          <w:rFonts w:ascii="Times New Roman" w:hAnsi="Times New Roman" w:cs="Times New Roman"/>
          <w:sz w:val="24"/>
          <w:szCs w:val="24"/>
        </w:rPr>
        <w:t xml:space="preserve"> her </w:t>
      </w:r>
      <w:r w:rsidR="00B7128D">
        <w:rPr>
          <w:rFonts w:ascii="Times New Roman" w:hAnsi="Times New Roman" w:cs="Times New Roman"/>
          <w:sz w:val="24"/>
          <w:szCs w:val="24"/>
        </w:rPr>
        <w:t>paternity</w:t>
      </w:r>
      <w:r w:rsidR="009E5198">
        <w:rPr>
          <w:rFonts w:ascii="Times New Roman" w:hAnsi="Times New Roman" w:cs="Times New Roman"/>
          <w:sz w:val="24"/>
          <w:szCs w:val="24"/>
        </w:rPr>
        <w:t xml:space="preserve"> was so openly talked about that she could not </w:t>
      </w:r>
      <w:r w:rsidR="00B7128D">
        <w:rPr>
          <w:rFonts w:ascii="Times New Roman" w:hAnsi="Times New Roman" w:cs="Times New Roman"/>
          <w:sz w:val="24"/>
          <w:szCs w:val="24"/>
        </w:rPr>
        <w:t>take</w:t>
      </w:r>
      <w:r w:rsidR="009E5198">
        <w:rPr>
          <w:rFonts w:ascii="Times New Roman" w:hAnsi="Times New Roman" w:cs="Times New Roman"/>
          <w:sz w:val="24"/>
          <w:szCs w:val="24"/>
        </w:rPr>
        <w:t xml:space="preserve"> it any more. She ran away </w:t>
      </w:r>
      <w:r w:rsidR="00B7128D">
        <w:rPr>
          <w:rFonts w:ascii="Times New Roman" w:hAnsi="Times New Roman" w:cs="Times New Roman"/>
          <w:sz w:val="24"/>
          <w:szCs w:val="24"/>
        </w:rPr>
        <w:t>from</w:t>
      </w:r>
      <w:r w:rsidR="009E5198">
        <w:rPr>
          <w:rFonts w:ascii="Times New Roman" w:hAnsi="Times New Roman" w:cs="Times New Roman"/>
          <w:sz w:val="24"/>
          <w:szCs w:val="24"/>
        </w:rPr>
        <w:t xml:space="preserve"> her </w:t>
      </w:r>
      <w:r w:rsidR="00B7128D">
        <w:rPr>
          <w:rFonts w:ascii="Times New Roman" w:hAnsi="Times New Roman" w:cs="Times New Roman"/>
          <w:sz w:val="24"/>
          <w:szCs w:val="24"/>
        </w:rPr>
        <w:t>supposed</w:t>
      </w:r>
      <w:r w:rsidR="009E5198">
        <w:rPr>
          <w:rFonts w:ascii="Times New Roman" w:hAnsi="Times New Roman" w:cs="Times New Roman"/>
          <w:sz w:val="24"/>
          <w:szCs w:val="24"/>
        </w:rPr>
        <w:t xml:space="preserve"> father’s homestead to </w:t>
      </w:r>
      <w:r w:rsidR="00B7128D">
        <w:rPr>
          <w:rFonts w:ascii="Times New Roman" w:hAnsi="Times New Roman" w:cs="Times New Roman"/>
          <w:sz w:val="24"/>
          <w:szCs w:val="24"/>
        </w:rPr>
        <w:t>go and</w:t>
      </w:r>
      <w:r w:rsidR="009E5198">
        <w:rPr>
          <w:rFonts w:ascii="Times New Roman" w:hAnsi="Times New Roman" w:cs="Times New Roman"/>
          <w:sz w:val="24"/>
          <w:szCs w:val="24"/>
        </w:rPr>
        <w:t xml:space="preserve"> live with her </w:t>
      </w:r>
      <w:r w:rsidR="00B7128D">
        <w:rPr>
          <w:rFonts w:ascii="Times New Roman" w:hAnsi="Times New Roman" w:cs="Times New Roman"/>
          <w:sz w:val="24"/>
          <w:szCs w:val="24"/>
        </w:rPr>
        <w:t>maternal grandmother</w:t>
      </w:r>
      <w:r w:rsidR="009E5198">
        <w:rPr>
          <w:rFonts w:ascii="Times New Roman" w:hAnsi="Times New Roman" w:cs="Times New Roman"/>
          <w:sz w:val="24"/>
          <w:szCs w:val="24"/>
        </w:rPr>
        <w:t>. She dropped out of school when she was in form three due to financial difficulties. She opted for marr</w:t>
      </w:r>
      <w:r w:rsidR="00274B7F">
        <w:rPr>
          <w:rFonts w:ascii="Times New Roman" w:hAnsi="Times New Roman" w:cs="Times New Roman"/>
          <w:sz w:val="24"/>
          <w:szCs w:val="24"/>
        </w:rPr>
        <w:t xml:space="preserve">iage, an avenue which </w:t>
      </w:r>
      <w:r w:rsidR="00B7128D">
        <w:rPr>
          <w:rFonts w:ascii="Times New Roman" w:hAnsi="Times New Roman" w:cs="Times New Roman"/>
          <w:sz w:val="24"/>
          <w:szCs w:val="24"/>
        </w:rPr>
        <w:t>thought</w:t>
      </w:r>
      <w:r w:rsidR="00274B7F">
        <w:rPr>
          <w:rFonts w:ascii="Times New Roman" w:hAnsi="Times New Roman" w:cs="Times New Roman"/>
          <w:sz w:val="24"/>
          <w:szCs w:val="24"/>
        </w:rPr>
        <w:t xml:space="preserve"> would offer her a sanctuary from her </w:t>
      </w:r>
      <w:r w:rsidR="00B7128D">
        <w:rPr>
          <w:rFonts w:ascii="Times New Roman" w:hAnsi="Times New Roman" w:cs="Times New Roman"/>
          <w:sz w:val="24"/>
          <w:szCs w:val="24"/>
        </w:rPr>
        <w:t>never-ending</w:t>
      </w:r>
      <w:r w:rsidR="00274B7F">
        <w:rPr>
          <w:rFonts w:ascii="Times New Roman" w:hAnsi="Times New Roman" w:cs="Times New Roman"/>
          <w:sz w:val="24"/>
          <w:szCs w:val="24"/>
        </w:rPr>
        <w:t xml:space="preserve"> problems. She was wrong because the marriage</w:t>
      </w:r>
      <w:r w:rsidR="00D14D02">
        <w:rPr>
          <w:rFonts w:ascii="Times New Roman" w:hAnsi="Times New Roman" w:cs="Times New Roman"/>
          <w:sz w:val="24"/>
          <w:szCs w:val="24"/>
        </w:rPr>
        <w:t xml:space="preserve"> </w:t>
      </w:r>
      <w:r w:rsidR="00274B7F">
        <w:rPr>
          <w:rFonts w:ascii="Times New Roman" w:hAnsi="Times New Roman" w:cs="Times New Roman"/>
          <w:sz w:val="24"/>
          <w:szCs w:val="24"/>
        </w:rPr>
        <w:t xml:space="preserve">would only bring </w:t>
      </w:r>
      <w:r w:rsidR="00D14D02">
        <w:rPr>
          <w:rFonts w:ascii="Times New Roman" w:hAnsi="Times New Roman" w:cs="Times New Roman"/>
          <w:sz w:val="24"/>
          <w:szCs w:val="24"/>
        </w:rPr>
        <w:t xml:space="preserve">her </w:t>
      </w:r>
      <w:r w:rsidR="00274B7F">
        <w:rPr>
          <w:rFonts w:ascii="Times New Roman" w:hAnsi="Times New Roman" w:cs="Times New Roman"/>
          <w:sz w:val="24"/>
          <w:szCs w:val="24"/>
        </w:rPr>
        <w:t xml:space="preserve">more misery. </w:t>
      </w:r>
      <w:r w:rsidR="00C21461">
        <w:rPr>
          <w:rFonts w:ascii="Times New Roman" w:hAnsi="Times New Roman" w:cs="Times New Roman"/>
          <w:sz w:val="24"/>
          <w:szCs w:val="24"/>
        </w:rPr>
        <w:t xml:space="preserve"> </w:t>
      </w:r>
      <w:r w:rsidR="00B7128D">
        <w:rPr>
          <w:rFonts w:ascii="Times New Roman" w:hAnsi="Times New Roman" w:cs="Times New Roman"/>
          <w:sz w:val="24"/>
          <w:szCs w:val="24"/>
        </w:rPr>
        <w:t>She got into that marriage in the year 2001. It lasted until 2015 after being blessed with three children</w:t>
      </w:r>
      <w:r w:rsidR="00DD1033">
        <w:rPr>
          <w:rFonts w:ascii="Times New Roman" w:hAnsi="Times New Roman" w:cs="Times New Roman"/>
          <w:sz w:val="24"/>
          <w:szCs w:val="24"/>
        </w:rPr>
        <w:t xml:space="preserve"> born in 2002, 2006 and 2013. All the children are not yet self-sufficient. They stay with their maternal grandmother. After her first marriage failed, the offender then got married to the deceased in 2018. As already said, he was unfaithful and that led to even worse problems for her. </w:t>
      </w:r>
      <w:r w:rsidR="00BE4F74">
        <w:rPr>
          <w:rFonts w:ascii="Times New Roman" w:hAnsi="Times New Roman" w:cs="Times New Roman"/>
          <w:sz w:val="24"/>
          <w:szCs w:val="24"/>
        </w:rPr>
        <w:t xml:space="preserve">He was involved in several extra marital relationships with women who resided in the same community. He openly admitted to those affairs. He at times became violent when confronted about the affairs. One such incident led the offender to report a case of domestic violence at Mazoe Police station. </w:t>
      </w:r>
      <w:r w:rsidR="00D14D02">
        <w:rPr>
          <w:rFonts w:ascii="Times New Roman" w:hAnsi="Times New Roman" w:cs="Times New Roman"/>
          <w:sz w:val="24"/>
          <w:szCs w:val="24"/>
        </w:rPr>
        <w:t xml:space="preserve">These issues have not been controverted by prosecution. The offender can easily fall into the category of battered women. </w:t>
      </w:r>
    </w:p>
    <w:p w14:paraId="73C764B4" w14:textId="64E0A002" w:rsidR="007257DB" w:rsidRDefault="00A83F68" w:rsidP="00A83F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D1033">
        <w:rPr>
          <w:rFonts w:ascii="Times New Roman" w:hAnsi="Times New Roman" w:cs="Times New Roman"/>
          <w:sz w:val="24"/>
          <w:szCs w:val="24"/>
        </w:rPr>
        <w:t xml:space="preserve">When this tragedy struck, the offender was employed by a company called Trust </w:t>
      </w:r>
      <w:r w:rsidR="00BE4F74">
        <w:rPr>
          <w:rFonts w:ascii="Times New Roman" w:hAnsi="Times New Roman" w:cs="Times New Roman"/>
          <w:sz w:val="24"/>
          <w:szCs w:val="24"/>
        </w:rPr>
        <w:t>M</w:t>
      </w:r>
      <w:r w:rsidR="00DD1033">
        <w:rPr>
          <w:rFonts w:ascii="Times New Roman" w:hAnsi="Times New Roman" w:cs="Times New Roman"/>
          <w:sz w:val="24"/>
          <w:szCs w:val="24"/>
        </w:rPr>
        <w:t xml:space="preserve">e </w:t>
      </w:r>
      <w:r w:rsidR="00BE4F74">
        <w:rPr>
          <w:rFonts w:ascii="Times New Roman" w:hAnsi="Times New Roman" w:cs="Times New Roman"/>
          <w:sz w:val="24"/>
          <w:szCs w:val="24"/>
        </w:rPr>
        <w:t>S</w:t>
      </w:r>
      <w:r w:rsidR="00DD1033">
        <w:rPr>
          <w:rFonts w:ascii="Times New Roman" w:hAnsi="Times New Roman" w:cs="Times New Roman"/>
          <w:sz w:val="24"/>
          <w:szCs w:val="24"/>
        </w:rPr>
        <w:t xml:space="preserve">ecurity as a security guard. She lost that job after she committed this offence. </w:t>
      </w:r>
      <w:r w:rsidR="00B7128D">
        <w:rPr>
          <w:rFonts w:ascii="Times New Roman" w:hAnsi="Times New Roman" w:cs="Times New Roman"/>
          <w:sz w:val="24"/>
          <w:szCs w:val="24"/>
        </w:rPr>
        <w:t xml:space="preserve"> </w:t>
      </w:r>
      <w:r w:rsidR="00BE4F74">
        <w:rPr>
          <w:rFonts w:ascii="Times New Roman" w:hAnsi="Times New Roman" w:cs="Times New Roman"/>
          <w:sz w:val="24"/>
          <w:szCs w:val="24"/>
        </w:rPr>
        <w:t>It</w:t>
      </w:r>
      <w:r w:rsidR="00BE4F74" w:rsidRPr="00BE4F74">
        <w:rPr>
          <w:rFonts w:ascii="Times New Roman" w:hAnsi="Times New Roman" w:cs="Times New Roman"/>
          <w:sz w:val="24"/>
          <w:szCs w:val="24"/>
        </w:rPr>
        <w:t xml:space="preserve"> is a punishment on </w:t>
      </w:r>
      <w:r w:rsidR="00D14D02">
        <w:rPr>
          <w:rFonts w:ascii="Times New Roman" w:hAnsi="Times New Roman" w:cs="Times New Roman"/>
          <w:sz w:val="24"/>
          <w:szCs w:val="24"/>
        </w:rPr>
        <w:t xml:space="preserve">its </w:t>
      </w:r>
      <w:r w:rsidR="00BE4F74" w:rsidRPr="00BE4F74">
        <w:rPr>
          <w:rFonts w:ascii="Times New Roman" w:hAnsi="Times New Roman" w:cs="Times New Roman"/>
          <w:sz w:val="24"/>
          <w:szCs w:val="24"/>
        </w:rPr>
        <w:t xml:space="preserve">own. </w:t>
      </w:r>
      <w:r w:rsidR="00C21461" w:rsidRPr="00BE4F74">
        <w:rPr>
          <w:rFonts w:ascii="Times New Roman" w:hAnsi="Times New Roman" w:cs="Times New Roman"/>
          <w:sz w:val="24"/>
          <w:szCs w:val="24"/>
        </w:rPr>
        <w:t xml:space="preserve"> </w:t>
      </w:r>
      <w:r w:rsidR="00BE4F74">
        <w:rPr>
          <w:rFonts w:ascii="Times New Roman" w:hAnsi="Times New Roman" w:cs="Times New Roman"/>
          <w:sz w:val="24"/>
          <w:szCs w:val="24"/>
        </w:rPr>
        <w:t xml:space="preserve">In addition, at the time she was convicted of this offence, the offender was nine months </w:t>
      </w:r>
      <w:r w:rsidR="00CC76C5">
        <w:rPr>
          <w:rFonts w:ascii="Times New Roman" w:hAnsi="Times New Roman" w:cs="Times New Roman"/>
          <w:sz w:val="24"/>
          <w:szCs w:val="24"/>
        </w:rPr>
        <w:t>preg</w:t>
      </w:r>
      <w:r w:rsidR="00D14D02">
        <w:rPr>
          <w:rFonts w:ascii="Times New Roman" w:hAnsi="Times New Roman" w:cs="Times New Roman"/>
          <w:sz w:val="24"/>
          <w:szCs w:val="24"/>
        </w:rPr>
        <w:t>nant</w:t>
      </w:r>
      <w:r w:rsidR="00BE4F74">
        <w:rPr>
          <w:rFonts w:ascii="Times New Roman" w:hAnsi="Times New Roman" w:cs="Times New Roman"/>
          <w:sz w:val="24"/>
          <w:szCs w:val="24"/>
        </w:rPr>
        <w:t xml:space="preserve"> by the deceased. We </w:t>
      </w:r>
      <w:r w:rsidR="00CC76C5">
        <w:rPr>
          <w:rFonts w:ascii="Times New Roman" w:hAnsi="Times New Roman" w:cs="Times New Roman"/>
          <w:sz w:val="24"/>
          <w:szCs w:val="24"/>
        </w:rPr>
        <w:t>could</w:t>
      </w:r>
      <w:r w:rsidR="00BE4F74">
        <w:rPr>
          <w:rFonts w:ascii="Times New Roman" w:hAnsi="Times New Roman" w:cs="Times New Roman"/>
          <w:sz w:val="24"/>
          <w:szCs w:val="24"/>
        </w:rPr>
        <w:t xml:space="preserve"> not sentence her because she was expecting any day. She </w:t>
      </w:r>
      <w:r w:rsidR="00D14D02">
        <w:rPr>
          <w:rFonts w:ascii="Times New Roman" w:hAnsi="Times New Roman" w:cs="Times New Roman"/>
          <w:sz w:val="24"/>
          <w:szCs w:val="24"/>
        </w:rPr>
        <w:t xml:space="preserve">has </w:t>
      </w:r>
      <w:r w:rsidR="00BE4F74">
        <w:rPr>
          <w:rFonts w:ascii="Times New Roman" w:hAnsi="Times New Roman" w:cs="Times New Roman"/>
          <w:sz w:val="24"/>
          <w:szCs w:val="24"/>
        </w:rPr>
        <w:t xml:space="preserve">since given birth but the coming of the baby simply made her situation worse. The deceased and her did not have a house of their own. They stayed in a mine compound. They have since </w:t>
      </w:r>
      <w:r w:rsidR="00CC76C5">
        <w:rPr>
          <w:rFonts w:ascii="Times New Roman" w:hAnsi="Times New Roman" w:cs="Times New Roman"/>
          <w:sz w:val="24"/>
          <w:szCs w:val="24"/>
        </w:rPr>
        <w:t>been</w:t>
      </w:r>
      <w:r w:rsidR="00BE4F74">
        <w:rPr>
          <w:rFonts w:ascii="Times New Roman" w:hAnsi="Times New Roman" w:cs="Times New Roman"/>
          <w:sz w:val="24"/>
          <w:szCs w:val="24"/>
        </w:rPr>
        <w:t xml:space="preserve"> </w:t>
      </w:r>
      <w:r w:rsidR="00CC76C5">
        <w:rPr>
          <w:rFonts w:ascii="Times New Roman" w:hAnsi="Times New Roman" w:cs="Times New Roman"/>
          <w:sz w:val="24"/>
          <w:szCs w:val="24"/>
        </w:rPr>
        <w:t>evicted</w:t>
      </w:r>
      <w:r w:rsidR="00BE4F74">
        <w:rPr>
          <w:rFonts w:ascii="Times New Roman" w:hAnsi="Times New Roman" w:cs="Times New Roman"/>
          <w:sz w:val="24"/>
          <w:szCs w:val="24"/>
        </w:rPr>
        <w:t xml:space="preserve"> therefrom. The family is basically homeless at the moment. </w:t>
      </w:r>
    </w:p>
    <w:p w14:paraId="4115CDAB" w14:textId="1CFE0E71" w:rsidR="00CC76C5" w:rsidRDefault="00A83F68" w:rsidP="00A83F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C76C5">
        <w:rPr>
          <w:rFonts w:ascii="Times New Roman" w:hAnsi="Times New Roman" w:cs="Times New Roman"/>
          <w:sz w:val="24"/>
          <w:szCs w:val="24"/>
        </w:rPr>
        <w:t xml:space="preserve">Mr </w:t>
      </w:r>
      <w:r w:rsidR="00CC76C5" w:rsidRPr="0018429C">
        <w:rPr>
          <w:rFonts w:ascii="Times New Roman" w:hAnsi="Times New Roman" w:cs="Times New Roman"/>
          <w:i/>
          <w:iCs/>
          <w:sz w:val="24"/>
          <w:szCs w:val="24"/>
        </w:rPr>
        <w:t xml:space="preserve">Muvirimi </w:t>
      </w:r>
      <w:r w:rsidR="00CC76C5">
        <w:rPr>
          <w:rFonts w:ascii="Times New Roman" w:hAnsi="Times New Roman" w:cs="Times New Roman"/>
          <w:sz w:val="24"/>
          <w:szCs w:val="24"/>
        </w:rPr>
        <w:t>equally urged the court to consider that the offender is a female first offender who readily admitted the offence she had committed. She i</w:t>
      </w:r>
      <w:r w:rsidR="00D14D02">
        <w:rPr>
          <w:rFonts w:ascii="Times New Roman" w:hAnsi="Times New Roman" w:cs="Times New Roman"/>
          <w:sz w:val="24"/>
          <w:szCs w:val="24"/>
        </w:rPr>
        <w:t>s</w:t>
      </w:r>
      <w:r w:rsidR="00CC76C5">
        <w:rPr>
          <w:rFonts w:ascii="Times New Roman" w:hAnsi="Times New Roman" w:cs="Times New Roman"/>
          <w:sz w:val="24"/>
          <w:szCs w:val="24"/>
        </w:rPr>
        <w:t xml:space="preserve"> remorseful and is aware that her actions prematurely ended a life. He referred the court to authorities such as </w:t>
      </w:r>
      <w:r w:rsidR="00CC76C5" w:rsidRPr="0018429C">
        <w:rPr>
          <w:rFonts w:ascii="Times New Roman" w:hAnsi="Times New Roman" w:cs="Times New Roman"/>
          <w:i/>
          <w:iCs/>
          <w:sz w:val="24"/>
          <w:szCs w:val="24"/>
        </w:rPr>
        <w:t xml:space="preserve">S </w:t>
      </w:r>
      <w:r w:rsidR="00CC76C5" w:rsidRPr="00A83F68">
        <w:rPr>
          <w:rFonts w:ascii="Times New Roman" w:hAnsi="Times New Roman" w:cs="Times New Roman"/>
          <w:sz w:val="24"/>
          <w:szCs w:val="24"/>
        </w:rPr>
        <w:t xml:space="preserve">v </w:t>
      </w:r>
      <w:r w:rsidR="00CC76C5" w:rsidRPr="0018429C">
        <w:rPr>
          <w:rFonts w:ascii="Times New Roman" w:hAnsi="Times New Roman" w:cs="Times New Roman"/>
          <w:i/>
          <w:iCs/>
          <w:sz w:val="24"/>
          <w:szCs w:val="24"/>
        </w:rPr>
        <w:t>Malunga</w:t>
      </w:r>
      <w:r w:rsidR="00CC76C5">
        <w:rPr>
          <w:rFonts w:ascii="Times New Roman" w:hAnsi="Times New Roman" w:cs="Times New Roman"/>
          <w:sz w:val="24"/>
          <w:szCs w:val="24"/>
        </w:rPr>
        <w:t xml:space="preserve"> 1990(1) ZLR 124 (H)</w:t>
      </w:r>
      <w:r w:rsidR="0018429C">
        <w:rPr>
          <w:rFonts w:ascii="Times New Roman" w:hAnsi="Times New Roman" w:cs="Times New Roman"/>
          <w:sz w:val="24"/>
          <w:szCs w:val="24"/>
        </w:rPr>
        <w:t xml:space="preserve"> and </w:t>
      </w:r>
      <w:r w:rsidR="0018429C" w:rsidRPr="0018429C">
        <w:rPr>
          <w:rFonts w:ascii="Times New Roman" w:hAnsi="Times New Roman" w:cs="Times New Roman"/>
          <w:i/>
          <w:iCs/>
          <w:sz w:val="24"/>
          <w:szCs w:val="24"/>
        </w:rPr>
        <w:t xml:space="preserve">S </w:t>
      </w:r>
      <w:r w:rsidR="0018429C" w:rsidRPr="00A83F68">
        <w:rPr>
          <w:rFonts w:ascii="Times New Roman" w:hAnsi="Times New Roman" w:cs="Times New Roman"/>
          <w:sz w:val="24"/>
          <w:szCs w:val="24"/>
        </w:rPr>
        <w:t>v</w:t>
      </w:r>
      <w:r w:rsidR="0018429C" w:rsidRPr="0018429C">
        <w:rPr>
          <w:rFonts w:ascii="Times New Roman" w:hAnsi="Times New Roman" w:cs="Times New Roman"/>
          <w:i/>
          <w:iCs/>
          <w:sz w:val="24"/>
          <w:szCs w:val="24"/>
        </w:rPr>
        <w:t xml:space="preserve"> Felistas Shingirai</w:t>
      </w:r>
      <w:r w:rsidR="0018429C">
        <w:rPr>
          <w:rFonts w:ascii="Times New Roman" w:hAnsi="Times New Roman" w:cs="Times New Roman"/>
          <w:sz w:val="24"/>
          <w:szCs w:val="24"/>
        </w:rPr>
        <w:t xml:space="preserve"> HMA 20/23</w:t>
      </w:r>
      <w:r>
        <w:rPr>
          <w:rFonts w:ascii="Times New Roman" w:hAnsi="Times New Roman" w:cs="Times New Roman"/>
          <w:sz w:val="24"/>
          <w:szCs w:val="24"/>
        </w:rPr>
        <w:t>.</w:t>
      </w:r>
    </w:p>
    <w:p w14:paraId="5960F2B3" w14:textId="50DF2E3F" w:rsidR="0018429C" w:rsidRDefault="00A83F68" w:rsidP="00A83F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8429C">
        <w:rPr>
          <w:rFonts w:ascii="Times New Roman" w:hAnsi="Times New Roman" w:cs="Times New Roman"/>
          <w:sz w:val="24"/>
          <w:szCs w:val="24"/>
        </w:rPr>
        <w:t xml:space="preserve">In aggravation, Ms </w:t>
      </w:r>
      <w:r w:rsidR="0018429C" w:rsidRPr="0018429C">
        <w:rPr>
          <w:rFonts w:ascii="Times New Roman" w:hAnsi="Times New Roman" w:cs="Times New Roman"/>
          <w:i/>
          <w:iCs/>
          <w:sz w:val="24"/>
          <w:szCs w:val="24"/>
        </w:rPr>
        <w:t>Havazvidi</w:t>
      </w:r>
      <w:r w:rsidR="0018429C">
        <w:rPr>
          <w:rFonts w:ascii="Times New Roman" w:hAnsi="Times New Roman" w:cs="Times New Roman"/>
          <w:sz w:val="24"/>
          <w:szCs w:val="24"/>
        </w:rPr>
        <w:t xml:space="preserve"> for prosecution, argued that the court should not lose sight that a life was lost and that the sanctity of human life cannot be overstated. She further argued that the offender used considerable force to stab the deceased with a lethal weapon. Much as that is correct, the court however notes that the offender thrust a single blow aimed at </w:t>
      </w:r>
      <w:r w:rsidR="0018429C">
        <w:rPr>
          <w:rFonts w:ascii="Times New Roman" w:hAnsi="Times New Roman" w:cs="Times New Roman"/>
          <w:sz w:val="24"/>
          <w:szCs w:val="24"/>
        </w:rPr>
        <w:lastRenderedPageBreak/>
        <w:t>the deceased’s leg which was not a vulnerable part of the body. It was unfortunate that ultimately her actions resulted in the death of the deceased.</w:t>
      </w:r>
    </w:p>
    <w:p w14:paraId="1A925677" w14:textId="597CB993" w:rsidR="0018429C" w:rsidRDefault="00A83F68" w:rsidP="00A83F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8429C">
        <w:rPr>
          <w:rFonts w:ascii="Times New Roman" w:hAnsi="Times New Roman" w:cs="Times New Roman"/>
          <w:sz w:val="24"/>
          <w:szCs w:val="24"/>
        </w:rPr>
        <w:t xml:space="preserve">When all is </w:t>
      </w:r>
      <w:r w:rsidR="004C5516">
        <w:rPr>
          <w:rFonts w:ascii="Times New Roman" w:hAnsi="Times New Roman" w:cs="Times New Roman"/>
          <w:sz w:val="24"/>
          <w:szCs w:val="24"/>
        </w:rPr>
        <w:t>said</w:t>
      </w:r>
      <w:r w:rsidR="0018429C">
        <w:rPr>
          <w:rFonts w:ascii="Times New Roman" w:hAnsi="Times New Roman" w:cs="Times New Roman"/>
          <w:sz w:val="24"/>
          <w:szCs w:val="24"/>
        </w:rPr>
        <w:t xml:space="preserve"> and done, it is clear that the mitigating factors in a good measure outweigh those which aggravate the crime. </w:t>
      </w:r>
      <w:r w:rsidR="004C5516">
        <w:rPr>
          <w:rFonts w:ascii="Times New Roman" w:hAnsi="Times New Roman" w:cs="Times New Roman"/>
          <w:sz w:val="24"/>
          <w:szCs w:val="24"/>
        </w:rPr>
        <w:t xml:space="preserve">A general reference to the range </w:t>
      </w:r>
      <w:r w:rsidR="00A21291">
        <w:rPr>
          <w:rFonts w:ascii="Times New Roman" w:hAnsi="Times New Roman" w:cs="Times New Roman"/>
          <w:sz w:val="24"/>
          <w:szCs w:val="24"/>
        </w:rPr>
        <w:t>o</w:t>
      </w:r>
      <w:r w:rsidR="004C5516">
        <w:rPr>
          <w:rFonts w:ascii="Times New Roman" w:hAnsi="Times New Roman" w:cs="Times New Roman"/>
          <w:sz w:val="24"/>
          <w:szCs w:val="24"/>
        </w:rPr>
        <w:t xml:space="preserve">f sentences previously imposed by the courts in similar cases illustrates that the courts have always viewed the loss of life as deserving serious censure against those who perpetrate such offences. See the cases of </w:t>
      </w:r>
      <w:r w:rsidR="004C5516" w:rsidRPr="00BE6AC3">
        <w:rPr>
          <w:rFonts w:ascii="Times New Roman" w:hAnsi="Times New Roman" w:cs="Times New Roman"/>
          <w:i/>
          <w:iCs/>
          <w:sz w:val="24"/>
          <w:szCs w:val="24"/>
        </w:rPr>
        <w:t xml:space="preserve">S </w:t>
      </w:r>
      <w:r w:rsidR="004C5516" w:rsidRPr="00A83F68">
        <w:rPr>
          <w:rFonts w:ascii="Times New Roman" w:hAnsi="Times New Roman" w:cs="Times New Roman"/>
          <w:sz w:val="24"/>
          <w:szCs w:val="24"/>
        </w:rPr>
        <w:t>v</w:t>
      </w:r>
      <w:r w:rsidR="004C5516" w:rsidRPr="00BE6AC3">
        <w:rPr>
          <w:rFonts w:ascii="Times New Roman" w:hAnsi="Times New Roman" w:cs="Times New Roman"/>
          <w:i/>
          <w:iCs/>
          <w:sz w:val="24"/>
          <w:szCs w:val="24"/>
        </w:rPr>
        <w:t xml:space="preserve"> Boniso Sibanda</w:t>
      </w:r>
      <w:r w:rsidR="004C5516">
        <w:rPr>
          <w:rFonts w:ascii="Times New Roman" w:hAnsi="Times New Roman" w:cs="Times New Roman"/>
          <w:sz w:val="24"/>
          <w:szCs w:val="24"/>
        </w:rPr>
        <w:t xml:space="preserve"> HB 239/20 and </w:t>
      </w:r>
      <w:r w:rsidR="004C5516" w:rsidRPr="00BE6AC3">
        <w:rPr>
          <w:rFonts w:ascii="Times New Roman" w:hAnsi="Times New Roman" w:cs="Times New Roman"/>
          <w:i/>
          <w:iCs/>
          <w:sz w:val="24"/>
          <w:szCs w:val="24"/>
        </w:rPr>
        <w:t xml:space="preserve">S </w:t>
      </w:r>
      <w:r w:rsidR="004C5516" w:rsidRPr="00A83F68">
        <w:rPr>
          <w:rFonts w:ascii="Times New Roman" w:hAnsi="Times New Roman" w:cs="Times New Roman"/>
          <w:sz w:val="24"/>
          <w:szCs w:val="24"/>
        </w:rPr>
        <w:t>v</w:t>
      </w:r>
      <w:r w:rsidR="004C5516" w:rsidRPr="00BE6AC3">
        <w:rPr>
          <w:rFonts w:ascii="Times New Roman" w:hAnsi="Times New Roman" w:cs="Times New Roman"/>
          <w:i/>
          <w:iCs/>
          <w:sz w:val="24"/>
          <w:szCs w:val="24"/>
        </w:rPr>
        <w:t xml:space="preserve"> Edward Gumbo</w:t>
      </w:r>
      <w:r w:rsidR="004C5516">
        <w:rPr>
          <w:rFonts w:ascii="Times New Roman" w:hAnsi="Times New Roman" w:cs="Times New Roman"/>
          <w:sz w:val="24"/>
          <w:szCs w:val="24"/>
        </w:rPr>
        <w:t xml:space="preserve"> HB 119/18 where sentences in the range of three (3) years effective imprisonment were imposed.  </w:t>
      </w:r>
      <w:r w:rsidR="0018429C">
        <w:rPr>
          <w:rFonts w:ascii="Times New Roman" w:hAnsi="Times New Roman" w:cs="Times New Roman"/>
          <w:sz w:val="24"/>
          <w:szCs w:val="24"/>
        </w:rPr>
        <w:t xml:space="preserve"> </w:t>
      </w:r>
    </w:p>
    <w:p w14:paraId="4879F2CA" w14:textId="20E822E8" w:rsidR="00BE6AC3" w:rsidRDefault="00A83F68" w:rsidP="00BE6AC3">
      <w:pPr>
        <w:spacing w:line="360" w:lineRule="auto"/>
        <w:jc w:val="both"/>
        <w:rPr>
          <w:rFonts w:ascii="Times New Roman" w:eastAsia="Calibri" w:hAnsi="Times New Roman" w:cs="Times New Roman"/>
          <w:b/>
          <w:sz w:val="24"/>
          <w:szCs w:val="24"/>
          <w:lang w:val="en-US"/>
        </w:rPr>
      </w:pPr>
      <w:r>
        <w:rPr>
          <w:rFonts w:ascii="Times New Roman" w:hAnsi="Times New Roman" w:cs="Times New Roman"/>
          <w:sz w:val="24"/>
          <w:szCs w:val="24"/>
        </w:rPr>
        <w:tab/>
      </w:r>
      <w:r w:rsidR="00BE6AC3">
        <w:rPr>
          <w:rFonts w:ascii="Times New Roman" w:hAnsi="Times New Roman" w:cs="Times New Roman"/>
          <w:sz w:val="24"/>
          <w:szCs w:val="24"/>
        </w:rPr>
        <w:t xml:space="preserve">It is against the above background that the court generally agrees with the suggestion made by prosecution that taking everything into account, a sentence in the region of two years effective imprisonment will meet the justice of this case. In the circumstances, the offender is sentenced to </w:t>
      </w:r>
      <w:r w:rsidR="00BE6AC3">
        <w:rPr>
          <w:rFonts w:ascii="Times New Roman" w:eastAsia="Calibri" w:hAnsi="Times New Roman" w:cs="Times New Roman"/>
          <w:b/>
          <w:sz w:val="24"/>
          <w:szCs w:val="24"/>
          <w:lang w:val="en-US"/>
        </w:rPr>
        <w:t>5</w:t>
      </w:r>
      <w:r w:rsidR="00BE6AC3" w:rsidRPr="00230FAA">
        <w:rPr>
          <w:rFonts w:ascii="Times New Roman" w:eastAsia="Calibri" w:hAnsi="Times New Roman" w:cs="Times New Roman"/>
          <w:b/>
          <w:sz w:val="24"/>
          <w:szCs w:val="24"/>
          <w:lang w:val="en-US"/>
        </w:rPr>
        <w:t xml:space="preserve"> years imprisonment of which </w:t>
      </w:r>
      <w:r w:rsidR="00BE6AC3">
        <w:rPr>
          <w:rFonts w:ascii="Times New Roman" w:eastAsia="Calibri" w:hAnsi="Times New Roman" w:cs="Times New Roman"/>
          <w:b/>
          <w:sz w:val="24"/>
          <w:szCs w:val="24"/>
          <w:lang w:val="en-US"/>
        </w:rPr>
        <w:t>3</w:t>
      </w:r>
      <w:r w:rsidR="00BE6AC3" w:rsidRPr="00230FAA">
        <w:rPr>
          <w:rFonts w:ascii="Times New Roman" w:eastAsia="Calibri" w:hAnsi="Times New Roman" w:cs="Times New Roman"/>
          <w:b/>
          <w:sz w:val="24"/>
          <w:szCs w:val="24"/>
          <w:lang w:val="en-US"/>
        </w:rPr>
        <w:t xml:space="preserve"> years imprisonment is suspended for 5 years on condition the accused does not within that period commit any offence involving violence on the person of another or involving the negligent killing of another for which he is sentenced to imprisonment without the option of a fine. </w:t>
      </w:r>
    </w:p>
    <w:p w14:paraId="7E543D65" w14:textId="3BFB63A2" w:rsidR="00BE6AC3" w:rsidRDefault="00A83F68" w:rsidP="00BE6AC3">
      <w:pPr>
        <w:spacing w:line="360" w:lineRule="auto"/>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ab/>
      </w:r>
      <w:r w:rsidR="00BE6AC3">
        <w:rPr>
          <w:rFonts w:ascii="Times New Roman" w:eastAsia="Calibri" w:hAnsi="Times New Roman" w:cs="Times New Roman"/>
          <w:b/>
          <w:sz w:val="24"/>
          <w:szCs w:val="24"/>
          <w:lang w:val="en-US"/>
        </w:rPr>
        <w:t>Effective sentence</w:t>
      </w:r>
      <w:r w:rsidR="00C77123">
        <w:rPr>
          <w:rFonts w:ascii="Times New Roman" w:eastAsia="Calibri" w:hAnsi="Times New Roman" w:cs="Times New Roman"/>
          <w:b/>
          <w:sz w:val="24"/>
          <w:szCs w:val="24"/>
          <w:lang w:val="en-US"/>
        </w:rPr>
        <w:t xml:space="preserve"> </w:t>
      </w:r>
      <w:r w:rsidR="00BE6AC3">
        <w:rPr>
          <w:rFonts w:ascii="Times New Roman" w:eastAsia="Calibri" w:hAnsi="Times New Roman" w:cs="Times New Roman"/>
          <w:b/>
          <w:sz w:val="24"/>
          <w:szCs w:val="24"/>
          <w:lang w:val="en-US"/>
        </w:rPr>
        <w:t xml:space="preserve">- </w:t>
      </w:r>
      <w:r w:rsidR="002338BB">
        <w:rPr>
          <w:rFonts w:ascii="Times New Roman" w:eastAsia="Calibri" w:hAnsi="Times New Roman" w:cs="Times New Roman"/>
          <w:b/>
          <w:sz w:val="24"/>
          <w:szCs w:val="24"/>
          <w:lang w:val="en-US"/>
        </w:rPr>
        <w:t>Two (</w:t>
      </w:r>
      <w:r w:rsidR="00BE6AC3">
        <w:rPr>
          <w:rFonts w:ascii="Times New Roman" w:eastAsia="Calibri" w:hAnsi="Times New Roman" w:cs="Times New Roman"/>
          <w:b/>
          <w:sz w:val="24"/>
          <w:szCs w:val="24"/>
          <w:lang w:val="en-US"/>
        </w:rPr>
        <w:t xml:space="preserve">2) years imprisonment. </w:t>
      </w:r>
      <w:r w:rsidR="00BE6AC3" w:rsidRPr="00230FAA">
        <w:rPr>
          <w:rFonts w:ascii="Times New Roman" w:eastAsia="Calibri" w:hAnsi="Times New Roman" w:cs="Times New Roman"/>
          <w:b/>
          <w:sz w:val="24"/>
          <w:szCs w:val="24"/>
          <w:lang w:val="en-US"/>
        </w:rPr>
        <w:t xml:space="preserve"> </w:t>
      </w:r>
    </w:p>
    <w:p w14:paraId="7A3965C1" w14:textId="77777777" w:rsidR="002338BB" w:rsidRDefault="002338BB" w:rsidP="00BE6AC3">
      <w:pPr>
        <w:spacing w:line="360" w:lineRule="auto"/>
        <w:jc w:val="both"/>
        <w:rPr>
          <w:rFonts w:ascii="Times New Roman" w:eastAsia="Calibri" w:hAnsi="Times New Roman" w:cs="Times New Roman"/>
          <w:bCs/>
          <w:i/>
          <w:iCs/>
          <w:sz w:val="24"/>
          <w:szCs w:val="24"/>
          <w:lang w:val="en-US"/>
        </w:rPr>
      </w:pPr>
    </w:p>
    <w:p w14:paraId="63B5217B" w14:textId="77777777" w:rsidR="002338BB" w:rsidRDefault="002338BB" w:rsidP="00BE6AC3">
      <w:pPr>
        <w:spacing w:line="360" w:lineRule="auto"/>
        <w:jc w:val="both"/>
        <w:rPr>
          <w:rFonts w:ascii="Times New Roman" w:eastAsia="Calibri" w:hAnsi="Times New Roman" w:cs="Times New Roman"/>
          <w:bCs/>
          <w:i/>
          <w:iCs/>
          <w:sz w:val="24"/>
          <w:szCs w:val="24"/>
          <w:lang w:val="en-US"/>
        </w:rPr>
      </w:pPr>
    </w:p>
    <w:p w14:paraId="3AE8C6D1" w14:textId="77777777" w:rsidR="00C77123" w:rsidRDefault="002338BB" w:rsidP="00C77123">
      <w:pPr>
        <w:pStyle w:val="NoSpacing"/>
        <w:rPr>
          <w:rFonts w:ascii="Times New Roman" w:hAnsi="Times New Roman" w:cs="Times New Roman"/>
          <w:sz w:val="24"/>
          <w:szCs w:val="24"/>
          <w:lang w:val="en-US"/>
        </w:rPr>
      </w:pPr>
      <w:r w:rsidRPr="00C77123">
        <w:rPr>
          <w:rFonts w:ascii="Times New Roman" w:hAnsi="Times New Roman" w:cs="Times New Roman"/>
          <w:i/>
          <w:iCs/>
          <w:sz w:val="24"/>
          <w:szCs w:val="24"/>
          <w:lang w:val="en-US"/>
        </w:rPr>
        <w:t>National Prosecuting Authority</w:t>
      </w:r>
      <w:r w:rsidRPr="00C77123">
        <w:rPr>
          <w:rFonts w:ascii="Times New Roman" w:hAnsi="Times New Roman" w:cs="Times New Roman"/>
          <w:sz w:val="24"/>
          <w:szCs w:val="24"/>
          <w:lang w:val="en-US"/>
        </w:rPr>
        <w:t xml:space="preserve">, the </w:t>
      </w:r>
      <w:r w:rsidR="00BF255F" w:rsidRPr="00C77123">
        <w:rPr>
          <w:rFonts w:ascii="Times New Roman" w:hAnsi="Times New Roman" w:cs="Times New Roman"/>
          <w:sz w:val="24"/>
          <w:szCs w:val="24"/>
          <w:lang w:val="en-US"/>
        </w:rPr>
        <w:t>S</w:t>
      </w:r>
      <w:r w:rsidRPr="00C77123">
        <w:rPr>
          <w:rFonts w:ascii="Times New Roman" w:hAnsi="Times New Roman" w:cs="Times New Roman"/>
          <w:sz w:val="24"/>
          <w:szCs w:val="24"/>
          <w:lang w:val="en-US"/>
        </w:rPr>
        <w:t>tate’s legal practitioners</w:t>
      </w:r>
    </w:p>
    <w:p w14:paraId="7C9B6B37" w14:textId="1109AAC3" w:rsidR="002338BB" w:rsidRPr="00C77123" w:rsidRDefault="002338BB" w:rsidP="00C77123">
      <w:pPr>
        <w:pStyle w:val="NoSpacing"/>
        <w:rPr>
          <w:rFonts w:ascii="Times New Roman" w:hAnsi="Times New Roman" w:cs="Times New Roman"/>
          <w:sz w:val="24"/>
          <w:szCs w:val="24"/>
          <w:lang w:val="en-US"/>
        </w:rPr>
      </w:pPr>
      <w:r w:rsidRPr="00C77123">
        <w:rPr>
          <w:rFonts w:ascii="Times New Roman" w:hAnsi="Times New Roman" w:cs="Times New Roman"/>
          <w:i/>
          <w:iCs/>
          <w:sz w:val="24"/>
          <w:szCs w:val="24"/>
          <w:lang w:val="en-US"/>
        </w:rPr>
        <w:t>Muvirimi Law Chambers,</w:t>
      </w:r>
      <w:r w:rsidRPr="00C77123">
        <w:rPr>
          <w:rFonts w:ascii="Times New Roman" w:hAnsi="Times New Roman" w:cs="Times New Roman"/>
          <w:b/>
          <w:sz w:val="24"/>
          <w:szCs w:val="24"/>
          <w:lang w:val="en-US"/>
        </w:rPr>
        <w:t xml:space="preserve"> </w:t>
      </w:r>
      <w:r w:rsidRPr="00C77123">
        <w:rPr>
          <w:rFonts w:ascii="Times New Roman" w:hAnsi="Times New Roman" w:cs="Times New Roman"/>
          <w:sz w:val="24"/>
          <w:szCs w:val="24"/>
          <w:lang w:val="en-US"/>
        </w:rPr>
        <w:t>the offender’s legal practitioners</w:t>
      </w:r>
    </w:p>
    <w:p w14:paraId="2873D03D" w14:textId="00C43BB7" w:rsidR="00BE6AC3" w:rsidRPr="00BE4F74" w:rsidRDefault="00BE6AC3" w:rsidP="00BE6AC3">
      <w:pPr>
        <w:spacing w:line="360" w:lineRule="auto"/>
        <w:jc w:val="both"/>
      </w:pPr>
    </w:p>
    <w:sectPr w:rsidR="00BE6AC3" w:rsidRPr="00BE4F7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ABA75" w14:textId="77777777" w:rsidR="00365332" w:rsidRDefault="00365332" w:rsidP="00A83F68">
      <w:pPr>
        <w:spacing w:after="0" w:line="240" w:lineRule="auto"/>
      </w:pPr>
      <w:r>
        <w:separator/>
      </w:r>
    </w:p>
  </w:endnote>
  <w:endnote w:type="continuationSeparator" w:id="0">
    <w:p w14:paraId="53ADA9F7" w14:textId="77777777" w:rsidR="00365332" w:rsidRDefault="00365332" w:rsidP="00A83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B451D" w14:textId="77777777" w:rsidR="00365332" w:rsidRDefault="00365332" w:rsidP="00A83F68">
      <w:pPr>
        <w:spacing w:after="0" w:line="240" w:lineRule="auto"/>
      </w:pPr>
      <w:r>
        <w:separator/>
      </w:r>
    </w:p>
  </w:footnote>
  <w:footnote w:type="continuationSeparator" w:id="0">
    <w:p w14:paraId="0260349B" w14:textId="77777777" w:rsidR="00365332" w:rsidRDefault="00365332" w:rsidP="00A83F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D5FE3" w14:textId="7A148150" w:rsidR="00A83F68" w:rsidRDefault="00A83F68">
    <w:pPr>
      <w:pStyle w:val="Header"/>
    </w:pPr>
    <w:r>
      <w:tab/>
    </w:r>
    <w:r>
      <w:tab/>
    </w:r>
    <w:r w:rsidR="005B6521">
      <w:t>1</w:t>
    </w:r>
  </w:p>
  <w:p w14:paraId="5F3BC748" w14:textId="5E3175E1" w:rsidR="00923A1D" w:rsidRDefault="00923A1D">
    <w:pPr>
      <w:pStyle w:val="Header"/>
    </w:pPr>
    <w:r>
      <w:tab/>
    </w:r>
    <w:r>
      <w:tab/>
      <w:t>HH 122</w:t>
    </w:r>
    <w:r w:rsidR="00DC1E74">
      <w:t xml:space="preserve"> </w:t>
    </w:r>
    <w:r>
      <w:t>-</w:t>
    </w:r>
    <w:r w:rsidR="00DC1E74">
      <w:t xml:space="preserve"> </w:t>
    </w:r>
    <w:r>
      <w:t>24</w:t>
    </w:r>
  </w:p>
  <w:p w14:paraId="574AA7D9" w14:textId="67415B8B" w:rsidR="00A83F68" w:rsidRDefault="00A83F68">
    <w:pPr>
      <w:pStyle w:val="Header"/>
    </w:pPr>
    <w:r>
      <w:tab/>
    </w:r>
    <w:r>
      <w:tab/>
      <w:t>CRB 6257/23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726"/>
    <w:rsid w:val="00170F94"/>
    <w:rsid w:val="0018429C"/>
    <w:rsid w:val="0020192A"/>
    <w:rsid w:val="002338BB"/>
    <w:rsid w:val="00274B7F"/>
    <w:rsid w:val="0034770E"/>
    <w:rsid w:val="00365332"/>
    <w:rsid w:val="004C5516"/>
    <w:rsid w:val="005078D5"/>
    <w:rsid w:val="0057672E"/>
    <w:rsid w:val="005B44AC"/>
    <w:rsid w:val="005B6521"/>
    <w:rsid w:val="005E5086"/>
    <w:rsid w:val="00660F0D"/>
    <w:rsid w:val="007257DB"/>
    <w:rsid w:val="007402B5"/>
    <w:rsid w:val="00746726"/>
    <w:rsid w:val="00876317"/>
    <w:rsid w:val="00923A1D"/>
    <w:rsid w:val="009E5198"/>
    <w:rsid w:val="00A21291"/>
    <w:rsid w:val="00A83F68"/>
    <w:rsid w:val="00B7128D"/>
    <w:rsid w:val="00BE4F74"/>
    <w:rsid w:val="00BE6AC3"/>
    <w:rsid w:val="00BF255F"/>
    <w:rsid w:val="00C21461"/>
    <w:rsid w:val="00C77123"/>
    <w:rsid w:val="00CC76C5"/>
    <w:rsid w:val="00D14D02"/>
    <w:rsid w:val="00DC1E74"/>
    <w:rsid w:val="00DD103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0D86F"/>
  <w15:chartTrackingRefBased/>
  <w15:docId w15:val="{5800F876-7309-49D5-9419-A2F590D18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72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672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83F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F68"/>
  </w:style>
  <w:style w:type="paragraph" w:styleId="Footer">
    <w:name w:val="footer"/>
    <w:basedOn w:val="Normal"/>
    <w:link w:val="FooterChar"/>
    <w:uiPriority w:val="99"/>
    <w:unhideWhenUsed/>
    <w:rsid w:val="00A83F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F68"/>
  </w:style>
  <w:style w:type="paragraph" w:styleId="NoSpacing">
    <w:name w:val="No Spacing"/>
    <w:uiPriority w:val="1"/>
    <w:qFormat/>
    <w:rsid w:val="00C771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Mutevedzi</dc:creator>
  <cp:keywords/>
  <dc:description/>
  <cp:lastModifiedBy>JSC</cp:lastModifiedBy>
  <cp:revision>2</cp:revision>
  <cp:lastPrinted>2024-03-22T12:18:00Z</cp:lastPrinted>
  <dcterms:created xsi:type="dcterms:W3CDTF">2024-03-22T13:02:00Z</dcterms:created>
  <dcterms:modified xsi:type="dcterms:W3CDTF">2024-03-22T13:02:00Z</dcterms:modified>
</cp:coreProperties>
</file>